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B02" w:rsidRPr="00807B02" w:rsidRDefault="00807B02" w:rsidP="00B976C5">
      <w:pPr>
        <w:spacing w:after="0" w:line="360" w:lineRule="auto"/>
        <w:jc w:val="both"/>
        <w:rPr>
          <w:rFonts w:ascii="Palatino Linotype" w:hAnsi="Palatino Linotype"/>
          <w:b/>
          <w:sz w:val="24"/>
          <w:szCs w:val="24"/>
        </w:rPr>
      </w:pPr>
      <w:r w:rsidRPr="00FF6A10">
        <w:rPr>
          <w:rFonts w:ascii="Palatino Linotype" w:hAnsi="Palatino Linotype"/>
          <w:b/>
          <w:sz w:val="24"/>
          <w:szCs w:val="24"/>
        </w:rPr>
        <w:t>VOTO PARTICULAR</w:t>
      </w:r>
      <w:r w:rsidR="00923BD5">
        <w:rPr>
          <w:rFonts w:ascii="Palatino Linotype" w:hAnsi="Palatino Linotype"/>
          <w:b/>
          <w:sz w:val="24"/>
          <w:szCs w:val="24"/>
        </w:rPr>
        <w:t xml:space="preserve"> CONCURRENTE </w:t>
      </w:r>
      <w:r w:rsidR="00923BD5">
        <w:rPr>
          <w:rFonts w:ascii="Palatino Linotype" w:hAnsi="Palatino Linotype"/>
          <w:b/>
          <w:sz w:val="24"/>
          <w:szCs w:val="24"/>
        </w:rPr>
        <w:t>QUE FORMULAN EL COMISIONADO JAVIER MARTÍNEZ CRUZ Y LA COMISIONADA</w:t>
      </w:r>
      <w:r w:rsidR="00923BD5" w:rsidRPr="00563D0F">
        <w:rPr>
          <w:rFonts w:ascii="Palatino Linotype" w:hAnsi="Palatino Linotype"/>
          <w:b/>
          <w:sz w:val="24"/>
          <w:szCs w:val="24"/>
        </w:rPr>
        <w:t xml:space="preserve"> ZULEMA MARTÍNEZ SÁNCHEZ</w:t>
      </w:r>
      <w:r w:rsidRPr="00B71BFC">
        <w:rPr>
          <w:rFonts w:ascii="Palatino Linotype" w:hAnsi="Palatino Linotype"/>
          <w:b/>
          <w:sz w:val="24"/>
          <w:szCs w:val="24"/>
        </w:rPr>
        <w:t xml:space="preserve">, EN RELACIÓN CON LA RESOLUCIÓN DICTADA POR EL PLENO </w:t>
      </w:r>
      <w:bookmarkStart w:id="0" w:name="_GoBack"/>
      <w:bookmarkEnd w:id="0"/>
      <w:r w:rsidRPr="00B71BFC">
        <w:rPr>
          <w:rFonts w:ascii="Palatino Linotype" w:hAnsi="Palatino Linotype"/>
          <w:b/>
          <w:sz w:val="24"/>
          <w:szCs w:val="24"/>
        </w:rPr>
        <w:t>DEL INSTITUTO DE TRANSPARENCIA, ACCESO A LA INFORMACIÓN PÚBLICA Y PROTECCIÓN DE DATOS PERSONALES DEL ESTADO DE M</w:t>
      </w:r>
      <w:r w:rsidR="00C11623">
        <w:rPr>
          <w:rFonts w:ascii="Palatino Linotype" w:hAnsi="Palatino Linotype"/>
          <w:b/>
          <w:sz w:val="24"/>
          <w:szCs w:val="24"/>
        </w:rPr>
        <w:t xml:space="preserve">ÉXICO Y </w:t>
      </w:r>
      <w:r w:rsidR="00FD03B0">
        <w:rPr>
          <w:rFonts w:ascii="Palatino Linotype" w:hAnsi="Palatino Linotype"/>
          <w:b/>
          <w:sz w:val="24"/>
          <w:szCs w:val="24"/>
        </w:rPr>
        <w:t>MUNICIPIOS, EN LA SEGUNDA</w:t>
      </w:r>
      <w:r w:rsidRPr="00B71BFC">
        <w:rPr>
          <w:rFonts w:ascii="Palatino Linotype" w:hAnsi="Palatino Linotype"/>
          <w:b/>
          <w:sz w:val="24"/>
          <w:szCs w:val="24"/>
        </w:rPr>
        <w:t xml:space="preserve"> SESIÓN </w:t>
      </w:r>
      <w:r w:rsidRPr="00563D0F">
        <w:rPr>
          <w:rFonts w:ascii="Palatino Linotype" w:hAnsi="Palatino Linotype"/>
          <w:b/>
          <w:sz w:val="24"/>
          <w:szCs w:val="24"/>
        </w:rPr>
        <w:t>DE</w:t>
      </w:r>
      <w:r>
        <w:rPr>
          <w:rFonts w:ascii="Palatino Linotype" w:hAnsi="Palatino Linotype"/>
          <w:b/>
          <w:sz w:val="24"/>
          <w:szCs w:val="24"/>
        </w:rPr>
        <w:t>L</w:t>
      </w:r>
      <w:r w:rsidRPr="00563D0F">
        <w:rPr>
          <w:rFonts w:ascii="Palatino Linotype" w:hAnsi="Palatino Linotype"/>
          <w:b/>
          <w:sz w:val="24"/>
          <w:szCs w:val="24"/>
        </w:rPr>
        <w:t xml:space="preserve"> </w:t>
      </w:r>
      <w:r w:rsidR="00FD03B0">
        <w:rPr>
          <w:rFonts w:ascii="Palatino Linotype" w:hAnsi="Palatino Linotype"/>
          <w:b/>
          <w:sz w:val="24"/>
          <w:szCs w:val="24"/>
        </w:rPr>
        <w:t xml:space="preserve">DIECISÉIS </w:t>
      </w:r>
      <w:r w:rsidR="00320BAF">
        <w:rPr>
          <w:rFonts w:ascii="Palatino Linotype" w:hAnsi="Palatino Linotype"/>
          <w:b/>
          <w:sz w:val="24"/>
          <w:szCs w:val="24"/>
        </w:rPr>
        <w:t>DE ENERO DOS MIL DIECINUEVE</w:t>
      </w:r>
      <w:r>
        <w:rPr>
          <w:rFonts w:ascii="Palatino Linotype" w:hAnsi="Palatino Linotype"/>
          <w:b/>
          <w:sz w:val="24"/>
          <w:szCs w:val="24"/>
        </w:rPr>
        <w:t>, EN EL</w:t>
      </w:r>
      <w:r w:rsidRPr="00563D0F">
        <w:rPr>
          <w:rFonts w:ascii="Palatino Linotype" w:hAnsi="Palatino Linotype"/>
          <w:b/>
          <w:sz w:val="24"/>
          <w:szCs w:val="24"/>
        </w:rPr>
        <w:t xml:space="preserve"> RECURSO DE REVISIÓN </w:t>
      </w:r>
      <w:r w:rsidR="005718F4">
        <w:rPr>
          <w:rFonts w:ascii="Palatino Linotype" w:hAnsi="Palatino Linotype"/>
          <w:b/>
          <w:sz w:val="24"/>
          <w:szCs w:val="24"/>
        </w:rPr>
        <w:t>04176/INFOEM/IP/RR/2018</w:t>
      </w:r>
      <w:r w:rsidR="00FD03B0">
        <w:rPr>
          <w:rFonts w:ascii="Palatino Linotype" w:hAnsi="Palatino Linotype"/>
          <w:b/>
          <w:sz w:val="24"/>
          <w:szCs w:val="24"/>
        </w:rPr>
        <w:t>.</w:t>
      </w:r>
    </w:p>
    <w:p w:rsidR="00B976C5" w:rsidRDefault="00B976C5" w:rsidP="00574532">
      <w:pPr>
        <w:spacing w:after="0" w:line="360" w:lineRule="auto"/>
        <w:jc w:val="both"/>
        <w:rPr>
          <w:rFonts w:ascii="Palatino Linotype" w:hAnsi="Palatino Linotype"/>
          <w:sz w:val="24"/>
          <w:szCs w:val="24"/>
        </w:rPr>
      </w:pPr>
    </w:p>
    <w:p w:rsidR="00DA6449" w:rsidRPr="00923BD5" w:rsidRDefault="00923BD5" w:rsidP="009421B1">
      <w:pPr>
        <w:spacing w:after="0" w:line="360" w:lineRule="auto"/>
        <w:jc w:val="both"/>
        <w:rPr>
          <w:rFonts w:ascii="Palatino Linotype" w:hAnsi="Palatino Linotype"/>
          <w:b/>
          <w:lang w:val="es-ES_tradnl"/>
        </w:rPr>
      </w:pPr>
      <w:r w:rsidRPr="00C82C0B">
        <w:rPr>
          <w:rFonts w:ascii="Palatino Linotype" w:hAnsi="Palatino Linotype"/>
          <w:sz w:val="24"/>
          <w:szCs w:val="24"/>
        </w:rPr>
        <w:t xml:space="preserve">Con fundamento en lo dispuesto por el artículo 14, fracciones X y XI, del Reglamento del Instituto de Transparencia, Acceso a la Información Pública y Protección de Datos Personales del Estado de México, , los Comisionados Javier Martínez Cruz y Zulema Martínez Sánchez emiten VOTO PARTICULAR CONCURRENTE respecto a la resolución dictada en el recurso de revisión número </w:t>
      </w:r>
      <w:r w:rsidR="00DA6449">
        <w:rPr>
          <w:rFonts w:ascii="Palatino Linotype" w:hAnsi="Palatino Linotype"/>
          <w:b/>
          <w:lang w:val="es-ES_tradnl"/>
        </w:rPr>
        <w:t>04176</w:t>
      </w:r>
      <w:r w:rsidR="00DA6449" w:rsidRPr="00572030">
        <w:rPr>
          <w:rFonts w:ascii="Palatino Linotype" w:hAnsi="Palatino Linotype"/>
          <w:b/>
          <w:lang w:val="es-ES_tradnl"/>
        </w:rPr>
        <w:t>/INFOEM/IP/RR/2018</w:t>
      </w:r>
      <w:r w:rsidR="00807B02" w:rsidRPr="00807B02">
        <w:rPr>
          <w:rFonts w:ascii="Palatino Linotype" w:hAnsi="Palatino Linotype"/>
          <w:sz w:val="24"/>
          <w:szCs w:val="24"/>
        </w:rPr>
        <w:t>, pronunciada por el Pleno de este Instituto an</w:t>
      </w:r>
      <w:r w:rsidR="00C11623">
        <w:rPr>
          <w:rFonts w:ascii="Palatino Linotype" w:hAnsi="Palatino Linotype"/>
          <w:sz w:val="24"/>
          <w:szCs w:val="24"/>
        </w:rPr>
        <w:t>te el p</w:t>
      </w:r>
      <w:r w:rsidR="00DA6449">
        <w:rPr>
          <w:rFonts w:ascii="Palatino Linotype" w:hAnsi="Palatino Linotype"/>
          <w:sz w:val="24"/>
          <w:szCs w:val="24"/>
        </w:rPr>
        <w:t>royecto presentado por el</w:t>
      </w:r>
      <w:r w:rsidR="00C11623">
        <w:rPr>
          <w:rFonts w:ascii="Palatino Linotype" w:hAnsi="Palatino Linotype"/>
          <w:sz w:val="24"/>
          <w:szCs w:val="24"/>
        </w:rPr>
        <w:t xml:space="preserve"> </w:t>
      </w:r>
      <w:r w:rsidR="00807B02" w:rsidRPr="00807B02">
        <w:rPr>
          <w:rFonts w:ascii="Palatino Linotype" w:hAnsi="Palatino Linotype"/>
          <w:sz w:val="24"/>
          <w:szCs w:val="24"/>
        </w:rPr>
        <w:t xml:space="preserve"> Comisionad</w:t>
      </w:r>
      <w:r w:rsidR="00DA6449">
        <w:rPr>
          <w:rFonts w:ascii="Palatino Linotype" w:hAnsi="Palatino Linotype"/>
          <w:sz w:val="24"/>
          <w:szCs w:val="24"/>
        </w:rPr>
        <w:t xml:space="preserve">o  </w:t>
      </w:r>
      <w:r w:rsidR="00DA6449" w:rsidRPr="003D5DCE">
        <w:rPr>
          <w:rFonts w:ascii="Palatino Linotype" w:eastAsia="Calibri" w:hAnsi="Palatino Linotype" w:cs="Tahoma"/>
          <w:b/>
          <w:sz w:val="24"/>
          <w:szCs w:val="24"/>
          <w:lang w:val="es-ES_tradnl"/>
        </w:rPr>
        <w:t>Luis Gustavo Parra Noriega</w:t>
      </w:r>
      <w:r w:rsidR="00807B02" w:rsidRPr="00807B02">
        <w:rPr>
          <w:rFonts w:ascii="Palatino Linotype" w:hAnsi="Palatino Linotype"/>
          <w:sz w:val="24"/>
          <w:szCs w:val="24"/>
        </w:rPr>
        <w:t xml:space="preserve">, que es del </w:t>
      </w:r>
      <w:r w:rsidR="00807B02" w:rsidRPr="00C11623">
        <w:rPr>
          <w:rFonts w:ascii="Palatino Linotype" w:hAnsi="Palatino Linotype"/>
          <w:sz w:val="24"/>
          <w:szCs w:val="24"/>
        </w:rPr>
        <w:t xml:space="preserve">tenor siguiente: </w:t>
      </w:r>
    </w:p>
    <w:p w:rsidR="00DA6449" w:rsidRPr="00DA6449" w:rsidRDefault="00B976C5" w:rsidP="00DA6449">
      <w:pPr>
        <w:pStyle w:val="Prrafodelista"/>
        <w:widowControl w:val="0"/>
        <w:autoSpaceDE w:val="0"/>
        <w:autoSpaceDN w:val="0"/>
        <w:adjustRightInd w:val="0"/>
        <w:spacing w:before="240" w:after="240" w:line="360" w:lineRule="auto"/>
        <w:ind w:left="0"/>
        <w:contextualSpacing w:val="0"/>
        <w:jc w:val="both"/>
        <w:rPr>
          <w:rFonts w:ascii="Palatino Linotype" w:hAnsi="Palatino Linotype" w:cs="Arial"/>
        </w:rPr>
      </w:pPr>
      <w:r w:rsidRPr="00C2534B">
        <w:rPr>
          <w:rFonts w:ascii="Palatino Linotype" w:hAnsi="Palatino Linotype"/>
        </w:rPr>
        <w:t xml:space="preserve">De </w:t>
      </w:r>
      <w:r w:rsidRPr="00923BD5">
        <w:rPr>
          <w:rFonts w:ascii="Palatino Linotype" w:hAnsi="Palatino Linotype"/>
        </w:rPr>
        <w:t>manera previa a la emisión del presente voto, cabe precisar  que</w:t>
      </w:r>
      <w:r w:rsidR="00DA6449" w:rsidRPr="00923BD5">
        <w:rPr>
          <w:rFonts w:ascii="Palatino Linotype" w:hAnsi="Palatino Linotype"/>
        </w:rPr>
        <w:t xml:space="preserve"> </w:t>
      </w:r>
      <w:r w:rsidR="00DA6449" w:rsidRPr="00923BD5">
        <w:rPr>
          <w:rFonts w:ascii="Palatino Linotype" w:hAnsi="Palatino Linotype" w:cs="Tahoma"/>
          <w:iCs/>
          <w:lang w:eastAsia="es-ES_tradnl"/>
        </w:rPr>
        <w:t>el Particular solicitó respecto a la policía municipal del Ayuntamiento de Metepec, a la fecha de la solicitud (veinte de septiembre de dos mil dieciocho), lo siguiente:</w:t>
      </w:r>
    </w:p>
    <w:p w:rsidR="00DA6449" w:rsidRPr="003D5DCE" w:rsidRDefault="00DA6449" w:rsidP="00DA6449">
      <w:pPr>
        <w:pStyle w:val="Prrafodelista"/>
        <w:numPr>
          <w:ilvl w:val="0"/>
          <w:numId w:val="4"/>
        </w:numPr>
        <w:tabs>
          <w:tab w:val="left" w:pos="4962"/>
        </w:tabs>
        <w:jc w:val="both"/>
        <w:rPr>
          <w:rFonts w:ascii="Palatino Linotype" w:hAnsi="Palatino Linotype" w:cs="Tahoma"/>
          <w:iCs/>
          <w:szCs w:val="22"/>
          <w:lang w:eastAsia="es-ES_tradnl"/>
        </w:rPr>
      </w:pPr>
      <w:r w:rsidRPr="003D5DCE">
        <w:rPr>
          <w:rFonts w:ascii="Palatino Linotype" w:hAnsi="Palatino Linotype" w:cs="Tahoma"/>
          <w:iCs/>
          <w:szCs w:val="22"/>
          <w:lang w:eastAsia="es-ES_tradnl"/>
        </w:rPr>
        <w:t>Estructura Orgánica;</w:t>
      </w:r>
    </w:p>
    <w:p w:rsidR="00DA6449" w:rsidRPr="003D5DCE" w:rsidRDefault="00DA6449" w:rsidP="00DA6449">
      <w:pPr>
        <w:pStyle w:val="Prrafodelista"/>
        <w:numPr>
          <w:ilvl w:val="0"/>
          <w:numId w:val="4"/>
        </w:numPr>
        <w:tabs>
          <w:tab w:val="left" w:pos="4962"/>
        </w:tabs>
        <w:jc w:val="both"/>
        <w:rPr>
          <w:rFonts w:ascii="Palatino Linotype" w:hAnsi="Palatino Linotype" w:cs="Tahoma"/>
          <w:iCs/>
          <w:szCs w:val="22"/>
          <w:lang w:eastAsia="es-ES_tradnl"/>
        </w:rPr>
      </w:pPr>
      <w:r w:rsidRPr="003D5DCE">
        <w:rPr>
          <w:rFonts w:ascii="Palatino Linotype" w:hAnsi="Palatino Linotype" w:cs="Tahoma"/>
          <w:iCs/>
          <w:szCs w:val="22"/>
          <w:lang w:eastAsia="es-ES_tradnl"/>
        </w:rPr>
        <w:t>Nombre de los servidores públicos que la integran;</w:t>
      </w:r>
    </w:p>
    <w:p w:rsidR="00DA6449" w:rsidRPr="003D5DCE" w:rsidRDefault="00DA6449" w:rsidP="00DA6449">
      <w:pPr>
        <w:pStyle w:val="Prrafodelista"/>
        <w:numPr>
          <w:ilvl w:val="0"/>
          <w:numId w:val="4"/>
        </w:numPr>
        <w:tabs>
          <w:tab w:val="left" w:pos="4962"/>
        </w:tabs>
        <w:jc w:val="both"/>
        <w:rPr>
          <w:rFonts w:ascii="Palatino Linotype" w:hAnsi="Palatino Linotype" w:cs="Tahoma"/>
          <w:iCs/>
          <w:szCs w:val="22"/>
          <w:lang w:eastAsia="es-ES_tradnl"/>
        </w:rPr>
      </w:pPr>
      <w:r w:rsidRPr="003D5DCE">
        <w:rPr>
          <w:rFonts w:ascii="Palatino Linotype" w:hAnsi="Palatino Linotype" w:cs="Tahoma"/>
          <w:iCs/>
          <w:szCs w:val="22"/>
          <w:lang w:eastAsia="es-ES_tradnl"/>
        </w:rPr>
        <w:lastRenderedPageBreak/>
        <w:t>Forma en que se encuentra dividido el Municipio, para que la policía municipal ejerza sus funciones;</w:t>
      </w:r>
    </w:p>
    <w:p w:rsidR="00DA6449" w:rsidRPr="003D5DCE" w:rsidRDefault="00DA6449" w:rsidP="00DA6449">
      <w:pPr>
        <w:pStyle w:val="Prrafodelista"/>
        <w:numPr>
          <w:ilvl w:val="0"/>
          <w:numId w:val="4"/>
        </w:numPr>
        <w:tabs>
          <w:tab w:val="left" w:pos="4962"/>
        </w:tabs>
        <w:jc w:val="both"/>
        <w:rPr>
          <w:rFonts w:ascii="Palatino Linotype" w:hAnsi="Palatino Linotype" w:cs="Tahoma"/>
          <w:iCs/>
          <w:szCs w:val="22"/>
          <w:lang w:eastAsia="es-ES_tradnl"/>
        </w:rPr>
      </w:pPr>
      <w:r w:rsidRPr="003D5DCE">
        <w:rPr>
          <w:rFonts w:ascii="Palatino Linotype" w:hAnsi="Palatino Linotype" w:cs="Tahoma"/>
          <w:iCs/>
          <w:szCs w:val="22"/>
          <w:lang w:eastAsia="es-ES_tradnl"/>
        </w:rPr>
        <w:t>Nómina de los servidores públicos que la integran, de la segunda quincena de agosto de dos mil dieciocho;</w:t>
      </w:r>
    </w:p>
    <w:p w:rsidR="00DA6449" w:rsidRPr="003D5DCE" w:rsidRDefault="00DA6449" w:rsidP="00DA6449">
      <w:pPr>
        <w:pStyle w:val="Prrafodelista"/>
        <w:numPr>
          <w:ilvl w:val="0"/>
          <w:numId w:val="4"/>
        </w:numPr>
        <w:tabs>
          <w:tab w:val="left" w:pos="4962"/>
        </w:tabs>
        <w:jc w:val="both"/>
        <w:rPr>
          <w:rFonts w:ascii="Palatino Linotype" w:hAnsi="Palatino Linotype" w:cs="Tahoma"/>
          <w:iCs/>
          <w:szCs w:val="22"/>
          <w:lang w:eastAsia="es-ES_tradnl"/>
        </w:rPr>
      </w:pPr>
      <w:r w:rsidRPr="003D5DCE">
        <w:rPr>
          <w:rFonts w:ascii="Palatino Linotype" w:hAnsi="Palatino Linotype" w:cs="Tahoma"/>
          <w:iCs/>
          <w:szCs w:val="22"/>
          <w:lang w:eastAsia="es-ES_tradnl"/>
        </w:rPr>
        <w:t>Presupuesto asignado y ejercido, en el dos mil dieciocho, y</w:t>
      </w:r>
    </w:p>
    <w:p w:rsidR="00DA6449" w:rsidRPr="003D5DCE" w:rsidRDefault="00DA6449" w:rsidP="00DA6449">
      <w:pPr>
        <w:pStyle w:val="Prrafodelista"/>
        <w:numPr>
          <w:ilvl w:val="0"/>
          <w:numId w:val="4"/>
        </w:numPr>
        <w:tabs>
          <w:tab w:val="left" w:pos="4962"/>
        </w:tabs>
        <w:jc w:val="both"/>
        <w:rPr>
          <w:rFonts w:ascii="Palatino Linotype" w:hAnsi="Palatino Linotype" w:cs="Tahoma"/>
          <w:iCs/>
          <w:szCs w:val="22"/>
          <w:lang w:eastAsia="es-ES_tradnl"/>
        </w:rPr>
      </w:pPr>
      <w:r w:rsidRPr="003D5DCE">
        <w:rPr>
          <w:rFonts w:ascii="Palatino Linotype" w:hAnsi="Palatino Linotype" w:cs="Tahoma"/>
          <w:iCs/>
          <w:szCs w:val="22"/>
          <w:lang w:eastAsia="es-ES_tradnl"/>
        </w:rPr>
        <w:t>Inventario de bienes muebles e inmuebles de la policía municipal.</w:t>
      </w:r>
    </w:p>
    <w:p w:rsidR="00DA6449" w:rsidRPr="00DA6449" w:rsidRDefault="00DA6449" w:rsidP="00D2588A">
      <w:pPr>
        <w:pStyle w:val="Prrafodelista"/>
        <w:widowControl w:val="0"/>
        <w:autoSpaceDE w:val="0"/>
        <w:autoSpaceDN w:val="0"/>
        <w:adjustRightInd w:val="0"/>
        <w:spacing w:before="240" w:after="240" w:line="360" w:lineRule="auto"/>
        <w:ind w:left="0"/>
        <w:contextualSpacing w:val="0"/>
        <w:jc w:val="both"/>
        <w:rPr>
          <w:rFonts w:ascii="Palatino Linotype" w:hAnsi="Palatino Linotype" w:cs="Arial"/>
          <w:sz w:val="10"/>
        </w:rPr>
      </w:pPr>
    </w:p>
    <w:p w:rsidR="00872711" w:rsidRPr="00D2588A" w:rsidRDefault="00872711" w:rsidP="00872711">
      <w:pPr>
        <w:spacing w:before="240" w:after="240" w:line="360" w:lineRule="auto"/>
        <w:jc w:val="both"/>
        <w:rPr>
          <w:rFonts w:ascii="Palatino Linotype" w:hAnsi="Palatino Linotype" w:cs="Arial"/>
          <w:sz w:val="24"/>
          <w:szCs w:val="24"/>
        </w:rPr>
      </w:pPr>
      <w:r w:rsidRPr="00872711">
        <w:rPr>
          <w:rFonts w:ascii="Palatino Linotype" w:hAnsi="Palatino Linotype" w:cs="Arial"/>
          <w:sz w:val="24"/>
          <w:szCs w:val="24"/>
        </w:rPr>
        <w:t>Por su parte,</w:t>
      </w:r>
      <w:r w:rsidR="00DA6449" w:rsidRPr="00DA6449">
        <w:t xml:space="preserve"> </w:t>
      </w:r>
      <w:r w:rsidR="00DA6449">
        <w:rPr>
          <w:rFonts w:ascii="Palatino Linotype" w:hAnsi="Palatino Linotype" w:cs="Arial"/>
          <w:sz w:val="24"/>
          <w:szCs w:val="24"/>
        </w:rPr>
        <w:t>l</w:t>
      </w:r>
      <w:r w:rsidR="00DA6449" w:rsidRPr="00DA6449">
        <w:rPr>
          <w:rFonts w:ascii="Palatino Linotype" w:hAnsi="Palatino Linotype" w:cs="Arial"/>
          <w:sz w:val="24"/>
          <w:szCs w:val="24"/>
        </w:rPr>
        <w:t>as unidades administrativas del Ayuntamiento de Metepec, señalaron lo siguiente</w:t>
      </w:r>
    </w:p>
    <w:p w:rsidR="00DA6449" w:rsidRPr="003D5DCE" w:rsidRDefault="00DA6449" w:rsidP="00DA6449">
      <w:pPr>
        <w:pStyle w:val="Prrafodelista"/>
        <w:numPr>
          <w:ilvl w:val="0"/>
          <w:numId w:val="5"/>
        </w:numPr>
        <w:tabs>
          <w:tab w:val="left" w:pos="4962"/>
        </w:tabs>
        <w:jc w:val="both"/>
        <w:rPr>
          <w:rFonts w:ascii="Palatino Linotype" w:hAnsi="Palatino Linotype" w:cs="Tahoma"/>
          <w:iCs/>
          <w:szCs w:val="22"/>
          <w:lang w:eastAsia="es-ES_tradnl"/>
        </w:rPr>
      </w:pPr>
      <w:r w:rsidRPr="003D5DCE">
        <w:rPr>
          <w:rFonts w:ascii="Palatino Linotype" w:hAnsi="Palatino Linotype" w:cs="Tahoma"/>
          <w:iCs/>
          <w:szCs w:val="22"/>
          <w:lang w:eastAsia="es-ES_tradnl"/>
        </w:rPr>
        <w:t xml:space="preserve">La Dirección de Gobierno por Resultados, indicó que la estructura orgánica solicitada, se encontraba en el Manual de Organización de Seguridad Pública vigente, el cual se encontraba en el vínculo electrónico </w:t>
      </w:r>
      <w:hyperlink r:id="rId8" w:history="1">
        <w:r w:rsidRPr="003D5DCE">
          <w:rPr>
            <w:rStyle w:val="Hipervnculo"/>
            <w:rFonts w:ascii="Palatino Linotype" w:hAnsi="Palatino Linotype" w:cs="Tahoma"/>
            <w:iCs/>
            <w:szCs w:val="22"/>
            <w:lang w:eastAsia="es-ES_tradnl"/>
          </w:rPr>
          <w:t>http://www.metepec.gob.mx/pagina/documentos/gacetas/gaceta_2016/GACETA_87_2016.pdf</w:t>
        </w:r>
      </w:hyperlink>
      <w:r w:rsidRPr="003D5DCE">
        <w:rPr>
          <w:rFonts w:ascii="Palatino Linotype" w:hAnsi="Palatino Linotype" w:cs="Tahoma"/>
          <w:iCs/>
          <w:szCs w:val="22"/>
          <w:lang w:eastAsia="es-ES_tradnl"/>
        </w:rPr>
        <w:t>.</w:t>
      </w:r>
    </w:p>
    <w:p w:rsidR="00DA6449" w:rsidRPr="003D5DCE" w:rsidRDefault="00DA6449" w:rsidP="00DA6449">
      <w:pPr>
        <w:pStyle w:val="Prrafodelista"/>
        <w:tabs>
          <w:tab w:val="left" w:pos="4962"/>
        </w:tabs>
        <w:jc w:val="both"/>
        <w:rPr>
          <w:rFonts w:ascii="Palatino Linotype" w:hAnsi="Palatino Linotype" w:cs="Tahoma"/>
          <w:iCs/>
          <w:szCs w:val="22"/>
          <w:lang w:eastAsia="es-ES_tradnl"/>
        </w:rPr>
      </w:pPr>
    </w:p>
    <w:p w:rsidR="00DA6449" w:rsidRPr="003D5DCE" w:rsidRDefault="00DA6449" w:rsidP="00DA6449">
      <w:pPr>
        <w:pStyle w:val="Prrafodelista"/>
        <w:numPr>
          <w:ilvl w:val="0"/>
          <w:numId w:val="5"/>
        </w:numPr>
        <w:tabs>
          <w:tab w:val="left" w:pos="4962"/>
        </w:tabs>
        <w:jc w:val="both"/>
        <w:rPr>
          <w:rFonts w:ascii="Palatino Linotype" w:hAnsi="Palatino Linotype" w:cs="Tahoma"/>
          <w:iCs/>
          <w:szCs w:val="22"/>
          <w:lang w:eastAsia="es-ES_tradnl"/>
        </w:rPr>
      </w:pPr>
      <w:r w:rsidRPr="003D5DCE">
        <w:rPr>
          <w:rFonts w:ascii="Palatino Linotype" w:hAnsi="Palatino Linotype" w:cs="Tahoma"/>
          <w:iCs/>
          <w:szCs w:val="22"/>
          <w:lang w:eastAsia="es-ES_tradnl"/>
        </w:rPr>
        <w:t>La Dirección de Administración, precisó que la Dirección de Seguridad Pública y Tránsito no cuenta con bienes inmuebles, además, entregó el Inventario de Bienes Muebles de Seguridad Pública y Tránsito.</w:t>
      </w:r>
    </w:p>
    <w:p w:rsidR="00DA6449" w:rsidRPr="003D5DCE" w:rsidRDefault="00DA6449" w:rsidP="00DA6449">
      <w:pPr>
        <w:pStyle w:val="Prrafodelista"/>
        <w:rPr>
          <w:rFonts w:ascii="Palatino Linotype" w:hAnsi="Palatino Linotype" w:cs="Tahoma"/>
          <w:iCs/>
          <w:szCs w:val="22"/>
          <w:lang w:eastAsia="es-ES_tradnl"/>
        </w:rPr>
      </w:pPr>
    </w:p>
    <w:p w:rsidR="00DA6449" w:rsidRPr="003D5DCE" w:rsidRDefault="00DA6449" w:rsidP="00DA6449">
      <w:pPr>
        <w:pStyle w:val="Prrafodelista"/>
        <w:numPr>
          <w:ilvl w:val="0"/>
          <w:numId w:val="5"/>
        </w:numPr>
        <w:tabs>
          <w:tab w:val="left" w:pos="4962"/>
        </w:tabs>
        <w:jc w:val="both"/>
        <w:rPr>
          <w:rFonts w:ascii="Palatino Linotype" w:hAnsi="Palatino Linotype" w:cs="Tahoma"/>
          <w:iCs/>
          <w:szCs w:val="22"/>
          <w:lang w:eastAsia="es-ES_tradnl"/>
        </w:rPr>
      </w:pPr>
      <w:r w:rsidRPr="003D5DCE">
        <w:rPr>
          <w:rFonts w:ascii="Palatino Linotype" w:hAnsi="Palatino Linotype" w:cs="Tahoma"/>
          <w:iCs/>
          <w:szCs w:val="22"/>
          <w:lang w:eastAsia="es-ES_tradnl"/>
        </w:rPr>
        <w:t xml:space="preserve">La Tesorería Municipal, señaló que después de haber realizado una búsqueda exhaustiva y razonable en los registros contables que obran en el Sistema Integral de Contabilidad Gubernamental, el importe autorizado en el </w:t>
      </w:r>
      <w:r w:rsidRPr="003D5DCE">
        <w:rPr>
          <w:rFonts w:ascii="Palatino Linotype" w:hAnsi="Palatino Linotype" w:cs="Tahoma"/>
        </w:rPr>
        <w:t>Presupuesto de Egresos para el ejercicio fiscal dos mil dieciocho, para la Dirección de Seguridad Pública y Tránsito es de ciento noventa y cuatro millones ciento cincuenta y nueve mil setecientos treinta y cinco pesos, con noventa y seis centavos, mientras que el ejercido al mes de agosto de la presente anualidad es de ciento veintiún millones doscientos un mil doscientos sesenta y nueve, con noventa y un centavos.</w:t>
      </w:r>
    </w:p>
    <w:p w:rsidR="00DA6449" w:rsidRPr="003D5DCE" w:rsidRDefault="00DA6449" w:rsidP="00DA6449">
      <w:pPr>
        <w:pStyle w:val="Prrafodelista"/>
        <w:rPr>
          <w:rFonts w:ascii="Palatino Linotype" w:hAnsi="Palatino Linotype" w:cs="Tahoma"/>
          <w:iCs/>
          <w:szCs w:val="22"/>
          <w:lang w:eastAsia="es-ES_tradnl"/>
        </w:rPr>
      </w:pPr>
    </w:p>
    <w:p w:rsidR="00DA6449" w:rsidRPr="00DA6449" w:rsidRDefault="00DA6449" w:rsidP="00DA6449">
      <w:pPr>
        <w:pStyle w:val="Prrafodelista"/>
        <w:numPr>
          <w:ilvl w:val="0"/>
          <w:numId w:val="5"/>
        </w:numPr>
        <w:tabs>
          <w:tab w:val="left" w:pos="4962"/>
        </w:tabs>
        <w:jc w:val="both"/>
        <w:rPr>
          <w:rFonts w:ascii="Palatino Linotype" w:hAnsi="Palatino Linotype" w:cs="Tahoma"/>
          <w:iCs/>
          <w:szCs w:val="22"/>
          <w:lang w:eastAsia="es-ES_tradnl"/>
        </w:rPr>
      </w:pPr>
      <w:r w:rsidRPr="003D5DCE">
        <w:rPr>
          <w:rFonts w:ascii="Palatino Linotype" w:hAnsi="Palatino Linotype" w:cs="Tahoma"/>
          <w:iCs/>
          <w:szCs w:val="22"/>
          <w:lang w:eastAsia="es-ES_tradnl"/>
        </w:rPr>
        <w:lastRenderedPageBreak/>
        <w:t>El Comité de Transparencia, a través de la Resolución del diez de octubre de dos mil dieciocho, emitió el Acuerdo número CTMET/027/114/2018, por medio del cual reserva el nombre de los servidores públicos que integran la policía municipal, la forma en que se encuentra divido el municipio (cuadrantes), nómina de la segunda quincena del mes de agosto de dos mil dieciocho, del personal de dicha área y la información relativ</w:t>
      </w:r>
      <w:r>
        <w:rPr>
          <w:rFonts w:ascii="Palatino Linotype" w:hAnsi="Palatino Linotype" w:cs="Tahoma"/>
          <w:iCs/>
          <w:szCs w:val="22"/>
          <w:lang w:eastAsia="es-ES_tradnl"/>
        </w:rPr>
        <w:t>a</w:t>
      </w:r>
      <w:r w:rsidRPr="003D5DCE">
        <w:rPr>
          <w:rFonts w:ascii="Palatino Linotype" w:hAnsi="Palatino Linotype" w:cs="Tahoma"/>
          <w:iCs/>
          <w:szCs w:val="22"/>
          <w:lang w:eastAsia="es-ES_tradnl"/>
        </w:rPr>
        <w:t xml:space="preserve"> a chalecos, patrullas, armamento, motocicletas, cuatrimotos y radios del inventario de bienes muebles de la </w:t>
      </w:r>
      <w:r w:rsidRPr="003D5DCE">
        <w:rPr>
          <w:rFonts w:ascii="Palatino Linotype" w:hAnsi="Palatino Linotype" w:cs="Tahoma"/>
        </w:rPr>
        <w:t>Dirección de Seguridad Pública y Tránsito, como reservada en términos del artículo 140, fracciones I y IV de la Ley de Transparencia y Acceso a la Información Pública del Estado de México y Municipios, con relación el artículo 81 de la Ley de Seguridad del Estado de México, por el periodo de un año.</w:t>
      </w:r>
    </w:p>
    <w:p w:rsidR="00DA6449" w:rsidRPr="00DA6449" w:rsidRDefault="00DA6449" w:rsidP="00DA6449">
      <w:pPr>
        <w:pStyle w:val="Prrafodelista"/>
        <w:rPr>
          <w:rFonts w:ascii="Palatino Linotype" w:hAnsi="Palatino Linotype" w:cs="Tahoma"/>
          <w:iCs/>
          <w:szCs w:val="22"/>
          <w:lang w:eastAsia="es-ES_tradnl"/>
        </w:rPr>
      </w:pPr>
    </w:p>
    <w:p w:rsidR="00DA6449" w:rsidRPr="00DA6449" w:rsidRDefault="00DA6449" w:rsidP="00DA6449">
      <w:pPr>
        <w:pStyle w:val="Prrafodelista"/>
        <w:tabs>
          <w:tab w:val="left" w:pos="4962"/>
        </w:tabs>
        <w:jc w:val="both"/>
        <w:rPr>
          <w:rFonts w:ascii="Palatino Linotype" w:hAnsi="Palatino Linotype" w:cs="Tahoma"/>
          <w:iCs/>
          <w:szCs w:val="22"/>
          <w:lang w:eastAsia="es-ES_tradnl"/>
        </w:rPr>
      </w:pPr>
    </w:p>
    <w:p w:rsidR="00DA6449" w:rsidRPr="003D5DCE" w:rsidRDefault="00DA6449" w:rsidP="00DA6449">
      <w:pPr>
        <w:tabs>
          <w:tab w:val="left" w:pos="4962"/>
        </w:tabs>
        <w:spacing w:line="360" w:lineRule="auto"/>
        <w:jc w:val="both"/>
        <w:rPr>
          <w:rFonts w:ascii="Palatino Linotype" w:eastAsia="Calibri" w:hAnsi="Palatino Linotype" w:cs="Tahoma"/>
          <w:iCs/>
          <w:lang w:val="es-ES" w:eastAsia="es-ES_tradnl"/>
        </w:rPr>
      </w:pPr>
      <w:r w:rsidRPr="003D5DCE">
        <w:rPr>
          <w:rFonts w:ascii="Palatino Linotype" w:eastAsia="Calibri" w:hAnsi="Palatino Linotype" w:cs="Tahoma"/>
          <w:iCs/>
          <w:lang w:val="es-ES" w:eastAsia="es-ES_tradnl"/>
        </w:rPr>
        <w:t xml:space="preserve">Ante la respuesta previamente descrita, el Recurrente se inconformó </w:t>
      </w:r>
      <w:r>
        <w:rPr>
          <w:rFonts w:ascii="Palatino Linotype" w:eastAsia="Calibri" w:hAnsi="Palatino Linotype" w:cs="Tahoma"/>
          <w:iCs/>
          <w:lang w:val="es-ES" w:eastAsia="es-ES_tradnl"/>
        </w:rPr>
        <w:t>bajo el argumento</w:t>
      </w:r>
      <w:r w:rsidRPr="003D5DCE">
        <w:rPr>
          <w:rFonts w:ascii="Palatino Linotype" w:eastAsia="Calibri" w:hAnsi="Palatino Linotype" w:cs="Tahoma"/>
          <w:iCs/>
          <w:lang w:val="es-ES" w:eastAsia="es-ES_tradnl"/>
        </w:rPr>
        <w:t xml:space="preserve"> siguiente:</w:t>
      </w:r>
    </w:p>
    <w:p w:rsidR="00DA6449" w:rsidRPr="003D5DCE" w:rsidRDefault="00DA6449" w:rsidP="00DA6449">
      <w:pPr>
        <w:pStyle w:val="Prrafodelista"/>
        <w:numPr>
          <w:ilvl w:val="0"/>
          <w:numId w:val="6"/>
        </w:numPr>
        <w:tabs>
          <w:tab w:val="left" w:pos="4962"/>
        </w:tabs>
        <w:jc w:val="both"/>
        <w:rPr>
          <w:rFonts w:ascii="Palatino Linotype" w:hAnsi="Palatino Linotype" w:cs="Tahoma"/>
          <w:iCs/>
          <w:szCs w:val="22"/>
          <w:lang w:eastAsia="es-ES_tradnl"/>
        </w:rPr>
      </w:pPr>
      <w:r w:rsidRPr="003D5DCE">
        <w:rPr>
          <w:rFonts w:ascii="Palatino Linotype" w:hAnsi="Palatino Linotype" w:cs="Tahoma"/>
          <w:iCs/>
          <w:szCs w:val="22"/>
          <w:lang w:eastAsia="es-ES_tradnl"/>
        </w:rPr>
        <w:t>Respecto al punto 1 del requerimiento, que el link electrónico proporcionado no correspondía a la estructura orgánica de la policía municipal.</w:t>
      </w:r>
    </w:p>
    <w:p w:rsidR="00DA6449" w:rsidRPr="003D5DCE" w:rsidRDefault="00DA6449" w:rsidP="00DA6449">
      <w:pPr>
        <w:pStyle w:val="Prrafodelista"/>
        <w:tabs>
          <w:tab w:val="left" w:pos="4962"/>
        </w:tabs>
        <w:jc w:val="both"/>
        <w:rPr>
          <w:rFonts w:ascii="Palatino Linotype" w:hAnsi="Palatino Linotype" w:cs="Tahoma"/>
          <w:iCs/>
          <w:szCs w:val="22"/>
          <w:lang w:eastAsia="es-ES_tradnl"/>
        </w:rPr>
      </w:pPr>
    </w:p>
    <w:p w:rsidR="00DA6449" w:rsidRPr="003D5DCE" w:rsidRDefault="00DA6449" w:rsidP="00DA6449">
      <w:pPr>
        <w:pStyle w:val="Prrafodelista"/>
        <w:numPr>
          <w:ilvl w:val="0"/>
          <w:numId w:val="6"/>
        </w:numPr>
        <w:tabs>
          <w:tab w:val="left" w:pos="4962"/>
        </w:tabs>
        <w:jc w:val="both"/>
        <w:rPr>
          <w:rFonts w:ascii="Palatino Linotype" w:hAnsi="Palatino Linotype" w:cs="Tahoma"/>
          <w:iCs/>
          <w:szCs w:val="22"/>
          <w:lang w:eastAsia="es-ES_tradnl"/>
        </w:rPr>
      </w:pPr>
      <w:r w:rsidRPr="003D5DCE">
        <w:rPr>
          <w:rFonts w:ascii="Palatino Linotype" w:hAnsi="Palatino Linotype" w:cs="Tahoma"/>
          <w:iCs/>
          <w:szCs w:val="22"/>
          <w:lang w:eastAsia="es-ES_tradnl"/>
        </w:rPr>
        <w:t>Con relación al punto 2 y 4 de la solicitud, que conforme al artículo 92 de la Ley de la materia, los nombres y las remuneraciones de los servidores públicos son obligaciones de transparencia, por lo que no podían reservarse.</w:t>
      </w:r>
    </w:p>
    <w:p w:rsidR="00206634" w:rsidRDefault="00206634" w:rsidP="00872711">
      <w:pPr>
        <w:spacing w:before="240" w:after="240" w:line="360" w:lineRule="auto"/>
        <w:jc w:val="both"/>
        <w:rPr>
          <w:rFonts w:ascii="Palatino Linotype" w:hAnsi="Palatino Linotype" w:cs="Arial"/>
          <w:sz w:val="24"/>
          <w:szCs w:val="24"/>
        </w:rPr>
      </w:pPr>
    </w:p>
    <w:p w:rsidR="00DA6449" w:rsidRDefault="00206634" w:rsidP="00872711">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Así, la ponencia que llevo a cargo el proyecto que se analiza, consideró </w:t>
      </w:r>
      <w:r w:rsidRPr="00206634">
        <w:rPr>
          <w:rFonts w:ascii="Palatino Linotype" w:hAnsi="Palatino Linotype" w:cs="Arial"/>
          <w:sz w:val="24"/>
          <w:szCs w:val="24"/>
        </w:rPr>
        <w:t>que el Solicitante únicamente se inconformó, con el punto 1, referente a la falta de entrega de la estructura orgánica de la Policía Municipal; asimismo, con relación a los puntos 2 y 4, con la reserva de la información.</w:t>
      </w:r>
    </w:p>
    <w:p w:rsidR="00674295" w:rsidRPr="00923BD5" w:rsidRDefault="00206634" w:rsidP="00872711">
      <w:pPr>
        <w:spacing w:before="240" w:after="240" w:line="360" w:lineRule="auto"/>
        <w:jc w:val="both"/>
        <w:rPr>
          <w:rFonts w:ascii="Palatino Linotype" w:eastAsia="Calibri" w:hAnsi="Palatino Linotype" w:cs="Tahoma"/>
          <w:iCs/>
          <w:sz w:val="24"/>
          <w:szCs w:val="24"/>
          <w:lang w:eastAsia="es-ES_tradnl"/>
        </w:rPr>
      </w:pPr>
      <w:r w:rsidRPr="00923BD5">
        <w:rPr>
          <w:rFonts w:ascii="Palatino Linotype" w:hAnsi="Palatino Linotype" w:cs="Arial"/>
          <w:sz w:val="24"/>
          <w:szCs w:val="24"/>
        </w:rPr>
        <w:lastRenderedPageBreak/>
        <w:t xml:space="preserve">Además, la potencia consideró para </w:t>
      </w:r>
      <w:r w:rsidRPr="00923BD5">
        <w:rPr>
          <w:rFonts w:ascii="Palatino Linotype" w:eastAsia="Calibri" w:hAnsi="Palatino Linotype" w:cs="Tahoma"/>
          <w:iCs/>
          <w:sz w:val="24"/>
          <w:szCs w:val="24"/>
          <w:lang w:val="es-ES" w:eastAsia="es-ES_tradnl"/>
        </w:rPr>
        <w:t xml:space="preserve">los puntos 3, 5 y 6, no hacer pronunciamiento alguno de conformidad con el artículo 195 </w:t>
      </w:r>
      <w:r w:rsidRPr="00923BD5">
        <w:rPr>
          <w:rFonts w:ascii="Palatino Linotype" w:eastAsia="Calibri" w:hAnsi="Palatino Linotype" w:cs="Tahoma"/>
          <w:iCs/>
          <w:sz w:val="24"/>
          <w:szCs w:val="24"/>
          <w:lang w:eastAsia="es-ES_tradnl"/>
        </w:rPr>
        <w:t>de la Ley de Transparencia y Acceso a la Información Pública del Estado de México y Municipios, con relación con el diverso 195, fracción IV, de Código de Procedimientos Administrativos del Estado de México</w:t>
      </w:r>
      <w:r w:rsidR="00674295" w:rsidRPr="00923BD5">
        <w:rPr>
          <w:rFonts w:ascii="Palatino Linotype" w:eastAsia="Calibri" w:hAnsi="Palatino Linotype" w:cs="Tahoma"/>
          <w:iCs/>
          <w:sz w:val="24"/>
          <w:szCs w:val="24"/>
          <w:lang w:eastAsia="es-ES_tradnl"/>
        </w:rPr>
        <w:t>.</w:t>
      </w:r>
    </w:p>
    <w:p w:rsidR="00674295" w:rsidRPr="00674295" w:rsidRDefault="00674295" w:rsidP="00872711">
      <w:pPr>
        <w:spacing w:before="240" w:after="240" w:line="360" w:lineRule="auto"/>
        <w:jc w:val="both"/>
        <w:rPr>
          <w:rFonts w:ascii="Palatino Linotype" w:eastAsia="Calibri" w:hAnsi="Palatino Linotype" w:cs="Tahoma"/>
          <w:iCs/>
          <w:lang w:eastAsia="es-ES_tradnl"/>
        </w:rPr>
      </w:pPr>
      <w:r w:rsidRPr="00923BD5">
        <w:rPr>
          <w:rFonts w:ascii="Palatino Linotype" w:eastAsia="Calibri" w:hAnsi="Palatino Linotype" w:cs="Tahoma"/>
          <w:iCs/>
          <w:sz w:val="24"/>
          <w:szCs w:val="24"/>
          <w:lang w:eastAsia="es-ES_tradnl"/>
        </w:rPr>
        <w:t xml:space="preserve">As, si bien como lo manifesté en las discusiones que determinaron el proyecto de revisión, si bien suscribo los términos con lo que la ponencia se </w:t>
      </w:r>
      <w:r w:rsidR="00C272EE" w:rsidRPr="00923BD5">
        <w:rPr>
          <w:rFonts w:ascii="Palatino Linotype" w:eastAsia="Calibri" w:hAnsi="Palatino Linotype" w:cs="Tahoma"/>
          <w:iCs/>
          <w:sz w:val="24"/>
          <w:szCs w:val="24"/>
          <w:lang w:eastAsia="es-ES_tradnl"/>
        </w:rPr>
        <w:t>pronunció</w:t>
      </w:r>
      <w:r w:rsidRPr="00923BD5">
        <w:rPr>
          <w:rFonts w:ascii="Palatino Linotype" w:eastAsia="Calibri" w:hAnsi="Palatino Linotype" w:cs="Tahoma"/>
          <w:iCs/>
          <w:sz w:val="24"/>
          <w:szCs w:val="24"/>
          <w:lang w:eastAsia="es-ES_tradnl"/>
        </w:rPr>
        <w:t xml:space="preserve">  en relación </w:t>
      </w:r>
      <w:r w:rsidR="00C272EE" w:rsidRPr="00923BD5">
        <w:rPr>
          <w:rFonts w:ascii="Palatino Linotype" w:eastAsia="Calibri" w:hAnsi="Palatino Linotype" w:cs="Tahoma"/>
          <w:iCs/>
          <w:sz w:val="24"/>
          <w:szCs w:val="24"/>
          <w:lang w:eastAsia="es-ES_tradnl"/>
        </w:rPr>
        <w:t>a la mayoría de los requerimientos</w:t>
      </w:r>
      <w:r w:rsidRPr="00923BD5">
        <w:rPr>
          <w:rFonts w:ascii="Palatino Linotype" w:eastAsia="Calibri" w:hAnsi="Palatino Linotype" w:cs="Tahoma"/>
          <w:iCs/>
          <w:sz w:val="24"/>
          <w:szCs w:val="24"/>
          <w:lang w:eastAsia="es-ES_tradnl"/>
        </w:rPr>
        <w:t xml:space="preserve"> </w:t>
      </w:r>
      <w:r w:rsidR="00C272EE" w:rsidRPr="00923BD5">
        <w:rPr>
          <w:rFonts w:ascii="Palatino Linotype" w:eastAsia="Calibri" w:hAnsi="Palatino Linotype" w:cs="Tahoma"/>
          <w:iCs/>
          <w:sz w:val="24"/>
          <w:szCs w:val="24"/>
          <w:lang w:eastAsia="es-ES_tradnl"/>
        </w:rPr>
        <w:t>enumerados</w:t>
      </w:r>
      <w:r w:rsidRPr="00923BD5">
        <w:rPr>
          <w:rFonts w:ascii="Palatino Linotype" w:eastAsia="Calibri" w:hAnsi="Palatino Linotype" w:cs="Tahoma"/>
          <w:iCs/>
          <w:sz w:val="24"/>
          <w:szCs w:val="24"/>
          <w:lang w:eastAsia="es-ES_tradnl"/>
        </w:rPr>
        <w:t xml:space="preserve"> en la solicitud de </w:t>
      </w:r>
      <w:r w:rsidR="00C272EE" w:rsidRPr="00923BD5">
        <w:rPr>
          <w:rFonts w:ascii="Palatino Linotype" w:eastAsia="Calibri" w:hAnsi="Palatino Linotype" w:cs="Tahoma"/>
          <w:iCs/>
          <w:sz w:val="24"/>
          <w:szCs w:val="24"/>
          <w:lang w:eastAsia="es-ES_tradnl"/>
        </w:rPr>
        <w:t>información</w:t>
      </w:r>
      <w:r w:rsidRPr="00923BD5">
        <w:rPr>
          <w:rFonts w:ascii="Palatino Linotype" w:eastAsia="Calibri" w:hAnsi="Palatino Linotype" w:cs="Tahoma"/>
          <w:iCs/>
          <w:sz w:val="24"/>
          <w:szCs w:val="24"/>
          <w:lang w:eastAsia="es-ES_tradnl"/>
        </w:rPr>
        <w:t xml:space="preserve">,  en lo </w:t>
      </w:r>
      <w:r w:rsidR="00C272EE" w:rsidRPr="00923BD5">
        <w:rPr>
          <w:rFonts w:ascii="Palatino Linotype" w:eastAsia="Calibri" w:hAnsi="Palatino Linotype" w:cs="Tahoma"/>
          <w:iCs/>
          <w:sz w:val="24"/>
          <w:szCs w:val="24"/>
          <w:lang w:eastAsia="es-ES_tradnl"/>
        </w:rPr>
        <w:t>correspondiente</w:t>
      </w:r>
      <w:r w:rsidRPr="00923BD5">
        <w:rPr>
          <w:rFonts w:ascii="Palatino Linotype" w:eastAsia="Calibri" w:hAnsi="Palatino Linotype" w:cs="Tahoma"/>
          <w:iCs/>
          <w:sz w:val="24"/>
          <w:szCs w:val="24"/>
          <w:lang w:eastAsia="es-ES_tradnl"/>
        </w:rPr>
        <w:t xml:space="preserve"> al </w:t>
      </w:r>
      <w:r w:rsidR="00C272EE" w:rsidRPr="00923BD5">
        <w:rPr>
          <w:rFonts w:ascii="Palatino Linotype" w:eastAsia="Calibri" w:hAnsi="Palatino Linotype" w:cs="Tahoma"/>
          <w:iCs/>
          <w:sz w:val="24"/>
          <w:szCs w:val="24"/>
          <w:lang w:eastAsia="es-ES_tradnl"/>
        </w:rPr>
        <w:t>punto</w:t>
      </w:r>
      <w:r w:rsidRPr="00923BD5">
        <w:rPr>
          <w:rFonts w:ascii="Palatino Linotype" w:eastAsia="Calibri" w:hAnsi="Palatino Linotype" w:cs="Tahoma"/>
          <w:iCs/>
          <w:sz w:val="24"/>
          <w:szCs w:val="24"/>
          <w:lang w:eastAsia="es-ES_tradnl"/>
        </w:rPr>
        <w:t xml:space="preserve"> relacionado con la </w:t>
      </w:r>
      <w:r w:rsidR="00C272EE" w:rsidRPr="00923BD5">
        <w:rPr>
          <w:rFonts w:ascii="Palatino Linotype" w:eastAsia="Calibri" w:hAnsi="Palatino Linotype" w:cs="Tahoma"/>
          <w:iCs/>
          <w:sz w:val="24"/>
          <w:szCs w:val="24"/>
          <w:lang w:eastAsia="es-ES_tradnl"/>
        </w:rPr>
        <w:t>forma</w:t>
      </w:r>
      <w:r w:rsidRPr="00923BD5">
        <w:rPr>
          <w:rFonts w:ascii="Palatino Linotype" w:eastAsia="Calibri" w:hAnsi="Palatino Linotype" w:cs="Tahoma"/>
          <w:iCs/>
          <w:sz w:val="24"/>
          <w:szCs w:val="24"/>
          <w:lang w:eastAsia="es-ES_tradnl"/>
        </w:rPr>
        <w:t xml:space="preserve"> en la que se encuentra dividido el </w:t>
      </w:r>
      <w:r w:rsidR="00C272EE" w:rsidRPr="00923BD5">
        <w:rPr>
          <w:rFonts w:ascii="Palatino Linotype" w:eastAsia="Calibri" w:hAnsi="Palatino Linotype" w:cs="Tahoma"/>
          <w:iCs/>
          <w:sz w:val="24"/>
          <w:szCs w:val="24"/>
          <w:lang w:eastAsia="es-ES_tradnl"/>
        </w:rPr>
        <w:t>territorio</w:t>
      </w:r>
      <w:r w:rsidRPr="00923BD5">
        <w:rPr>
          <w:rFonts w:ascii="Palatino Linotype" w:eastAsia="Calibri" w:hAnsi="Palatino Linotype" w:cs="Tahoma"/>
          <w:iCs/>
          <w:sz w:val="24"/>
          <w:szCs w:val="24"/>
          <w:lang w:eastAsia="es-ES_tradnl"/>
        </w:rPr>
        <w:t xml:space="preserve"> municipal en materia de seguridad </w:t>
      </w:r>
      <w:r w:rsidR="00C272EE" w:rsidRPr="00923BD5">
        <w:rPr>
          <w:rFonts w:ascii="Palatino Linotype" w:eastAsia="Calibri" w:hAnsi="Palatino Linotype" w:cs="Tahoma"/>
          <w:iCs/>
          <w:sz w:val="24"/>
          <w:szCs w:val="24"/>
          <w:lang w:eastAsia="es-ES_tradnl"/>
        </w:rPr>
        <w:t>pública</w:t>
      </w:r>
      <w:r w:rsidRPr="00923BD5">
        <w:rPr>
          <w:rFonts w:ascii="Palatino Linotype" w:eastAsia="Calibri" w:hAnsi="Palatino Linotype" w:cs="Tahoma"/>
          <w:iCs/>
          <w:sz w:val="24"/>
          <w:szCs w:val="24"/>
          <w:lang w:eastAsia="es-ES_tradnl"/>
        </w:rPr>
        <w:t xml:space="preserve">, </w:t>
      </w:r>
      <w:r w:rsidR="00C272EE" w:rsidRPr="00923BD5">
        <w:rPr>
          <w:rFonts w:ascii="Palatino Linotype" w:eastAsia="Calibri" w:hAnsi="Palatino Linotype" w:cs="Tahoma"/>
          <w:iCs/>
          <w:sz w:val="24"/>
          <w:szCs w:val="24"/>
          <w:lang w:eastAsia="es-ES_tradnl"/>
        </w:rPr>
        <w:t>difiero en atención a las siguientes consideraciones</w:t>
      </w:r>
      <w:r w:rsidR="00C272EE">
        <w:rPr>
          <w:rFonts w:ascii="Palatino Linotype" w:eastAsia="Calibri" w:hAnsi="Palatino Linotype" w:cs="Tahoma"/>
          <w:iCs/>
          <w:lang w:eastAsia="es-ES_tradnl"/>
        </w:rPr>
        <w:t xml:space="preserve">. </w:t>
      </w:r>
    </w:p>
    <w:p w:rsidR="009421B1" w:rsidRPr="009421B1" w:rsidRDefault="009421B1" w:rsidP="009421B1">
      <w:pPr>
        <w:spacing w:before="240" w:after="360" w:line="360" w:lineRule="auto"/>
        <w:jc w:val="both"/>
        <w:rPr>
          <w:rFonts w:ascii="Palatino Linotype" w:eastAsia="MS Mincho" w:hAnsi="Palatino Linotype" w:cs="Arial"/>
          <w:sz w:val="24"/>
          <w:szCs w:val="24"/>
        </w:rPr>
      </w:pPr>
      <w:r>
        <w:rPr>
          <w:rFonts w:ascii="Palatino Linotype" w:eastAsia="MS Mincho" w:hAnsi="Palatino Linotype" w:cs="Arial"/>
          <w:sz w:val="24"/>
          <w:szCs w:val="24"/>
        </w:rPr>
        <w:t>Primero</w:t>
      </w:r>
      <w:r w:rsidRPr="009421B1">
        <w:rPr>
          <w:rFonts w:ascii="Palatino Linotype" w:eastAsia="MS Mincho" w:hAnsi="Palatino Linotype" w:cs="Arial"/>
          <w:sz w:val="24"/>
          <w:szCs w:val="24"/>
        </w:rPr>
        <w:t>,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los nombres y la forma en que el Sujeto Obligado organiza el municipio en “cuadrantes” para combatir o hacer frete a situaciones que ameriten la intervención de la seguridad pública, puede llegar a constituirse en un componente fundamental en el esfuerzo que realiza el Estado Mexicano para garantizar la seguridad del país en sus diferentes vertientes.</w:t>
      </w:r>
    </w:p>
    <w:p w:rsidR="009421B1" w:rsidRPr="009421B1" w:rsidRDefault="009421B1" w:rsidP="009421B1">
      <w:pPr>
        <w:spacing w:before="240" w:after="360" w:line="360" w:lineRule="auto"/>
        <w:jc w:val="both"/>
        <w:rPr>
          <w:rFonts w:ascii="Palatino Linotype" w:eastAsia="MS Mincho" w:hAnsi="Palatino Linotype" w:cs="Arial"/>
          <w:sz w:val="24"/>
          <w:szCs w:val="24"/>
          <w:lang w:val="es-ES_tradnl"/>
        </w:rPr>
      </w:pPr>
      <w:r w:rsidRPr="009421B1">
        <w:rPr>
          <w:rFonts w:ascii="Palatino Linotype" w:eastAsia="MS Mincho" w:hAnsi="Palatino Linotype" w:cs="Arial"/>
          <w:sz w:val="24"/>
          <w:szCs w:val="24"/>
        </w:rPr>
        <w:lastRenderedPageBreak/>
        <w:t xml:space="preserve">Circunstancia que </w:t>
      </w:r>
      <w:r w:rsidRPr="009421B1">
        <w:rPr>
          <w:rFonts w:ascii="Palatino Linotype" w:eastAsia="MS Mincho" w:hAnsi="Palatino Linotype" w:cs="Arial"/>
          <w:sz w:val="24"/>
          <w:szCs w:val="24"/>
          <w:lang w:val="es-ES_tradnl"/>
        </w:rPr>
        <w:t xml:space="preserve">puede poner en riesgo tanto la vida e integridad física de los integrantes de los cuerpos policiales, así como el modo de reacción de los elementos de seguridad pública, congruente  a lo anterior, se encuentra lo previsto en el artículo 81 fracción III de la Ley de Seguridad del Estado de México, que establece: </w:t>
      </w:r>
    </w:p>
    <w:p w:rsidR="009421B1" w:rsidRPr="009421B1" w:rsidRDefault="009421B1" w:rsidP="009421B1">
      <w:pPr>
        <w:spacing w:line="259" w:lineRule="auto"/>
        <w:ind w:left="851" w:right="706"/>
        <w:jc w:val="both"/>
        <w:rPr>
          <w:rFonts w:ascii="Palatino Linotype" w:eastAsia="MS Mincho" w:hAnsi="Palatino Linotype" w:cs="Arial"/>
          <w:i/>
          <w:lang w:val="es-ES_tradnl"/>
        </w:rPr>
      </w:pPr>
      <w:r w:rsidRPr="009421B1">
        <w:rPr>
          <w:rFonts w:ascii="Palatino Linotype" w:eastAsia="MS Mincho" w:hAnsi="Palatino Linotype" w:cs="Arial"/>
          <w:i/>
          <w:lang w:val="es-ES_tradnl"/>
        </w:rPr>
        <w:t>“</w:t>
      </w:r>
      <w:r w:rsidRPr="009421B1">
        <w:rPr>
          <w:rFonts w:ascii="Palatino Linotype" w:eastAsia="MS Mincho" w:hAnsi="Palatino Linotype" w:cs="Arial"/>
          <w:b/>
          <w:i/>
          <w:lang w:val="es-ES_tradnl"/>
        </w:rPr>
        <w:t>Artículo 81.-</w:t>
      </w:r>
      <w:r w:rsidRPr="009421B1">
        <w:rPr>
          <w:rFonts w:ascii="Palatino Linotype" w:eastAsia="MS Mincho" w:hAnsi="Palatino Linotype" w:cs="Arial"/>
          <w:i/>
          <w:lang w:val="es-ES_tradnl"/>
        </w:rPr>
        <w:t xml:space="preserve"> </w:t>
      </w:r>
      <w:r w:rsidRPr="009421B1">
        <w:rPr>
          <w:rFonts w:ascii="Palatino Linotype" w:eastAsia="MS Mincho" w:hAnsi="Palatino Linotype" w:cs="Arial"/>
          <w:b/>
          <w:i/>
          <w:lang w:val="es-ES_tradnl"/>
        </w:rPr>
        <w:t xml:space="preserve">Toda información para la seguridad pública generada o en poder de Instituciones de Seguridad Pública o de cualquier instancia del Sistema Estatal debe registrarse, clasificarse y tratarse de conformidad con las disposiciones aplicables. </w:t>
      </w:r>
      <w:r w:rsidRPr="009421B1">
        <w:rPr>
          <w:rFonts w:ascii="Palatino Linotype" w:eastAsia="MS Mincho" w:hAnsi="Palatino Linotype" w:cs="Arial"/>
          <w:b/>
          <w:i/>
          <w:u w:val="single"/>
          <w:lang w:val="es-ES_tradnl"/>
        </w:rPr>
        <w:t>No obstante lo anterior, esta información se considerará reservada</w:t>
      </w:r>
      <w:r w:rsidRPr="009421B1">
        <w:rPr>
          <w:rFonts w:ascii="Palatino Linotype" w:eastAsia="MS Mincho" w:hAnsi="Palatino Linotype" w:cs="Arial"/>
          <w:i/>
          <w:lang w:val="es-ES_tradnl"/>
        </w:rPr>
        <w:t xml:space="preserve"> en los casos siguientes:</w:t>
      </w:r>
    </w:p>
    <w:p w:rsidR="009421B1" w:rsidRPr="009421B1" w:rsidRDefault="009421B1" w:rsidP="009421B1">
      <w:pPr>
        <w:spacing w:line="259" w:lineRule="auto"/>
        <w:ind w:left="851" w:right="706"/>
        <w:jc w:val="both"/>
        <w:rPr>
          <w:rFonts w:ascii="Palatino Linotype" w:eastAsia="MS Mincho" w:hAnsi="Palatino Linotype" w:cs="Arial"/>
          <w:b/>
          <w:i/>
          <w:u w:val="single"/>
          <w:lang w:val="es-ES_tradnl"/>
        </w:rPr>
      </w:pPr>
    </w:p>
    <w:p w:rsidR="009421B1" w:rsidRPr="009421B1" w:rsidRDefault="009421B1" w:rsidP="009421B1">
      <w:pPr>
        <w:spacing w:line="259" w:lineRule="auto"/>
        <w:ind w:left="851" w:right="706"/>
        <w:jc w:val="both"/>
        <w:rPr>
          <w:rFonts w:ascii="Palatino Linotype" w:hAnsi="Palatino Linotype"/>
          <w:b/>
          <w:i/>
          <w:u w:val="single"/>
        </w:rPr>
      </w:pPr>
      <w:r w:rsidRPr="009421B1">
        <w:rPr>
          <w:rFonts w:ascii="Palatino Linotype" w:hAnsi="Palatino Linotype"/>
          <w:b/>
          <w:i/>
          <w:u w:val="single"/>
        </w:rPr>
        <w:t>I. Aquella cuya divulgación implique la revelación de normas, procedimientos, métodos, fuentes, especificaciones técnicas, sistemas, tecnología o equipos útiles a la generación de inteligencia para la seguridad pública o el combate a la delincuencia en el Estado de México;</w:t>
      </w:r>
    </w:p>
    <w:p w:rsidR="009421B1" w:rsidRPr="009421B1" w:rsidRDefault="009421B1" w:rsidP="009421B1">
      <w:pPr>
        <w:spacing w:line="259" w:lineRule="auto"/>
        <w:ind w:left="851" w:right="706"/>
        <w:jc w:val="both"/>
        <w:rPr>
          <w:rFonts w:ascii="Palatino Linotype" w:eastAsia="MS Mincho" w:hAnsi="Palatino Linotype" w:cs="Arial"/>
          <w:i/>
          <w:lang w:val="es-ES_tradnl"/>
        </w:rPr>
      </w:pPr>
      <w:r w:rsidRPr="009421B1">
        <w:rPr>
          <w:rFonts w:ascii="Palatino Linotype" w:eastAsia="MS Mincho" w:hAnsi="Palatino Linotype" w:cs="Arial"/>
          <w:i/>
          <w:lang w:val="es-ES_tradnl"/>
        </w:rPr>
        <w:t>…</w:t>
      </w:r>
    </w:p>
    <w:p w:rsidR="009421B1" w:rsidRPr="009421B1" w:rsidRDefault="009421B1" w:rsidP="009421B1">
      <w:pPr>
        <w:spacing w:line="259" w:lineRule="auto"/>
        <w:ind w:left="851" w:right="706"/>
        <w:jc w:val="both"/>
        <w:rPr>
          <w:rFonts w:ascii="Palatino Linotype" w:eastAsia="MS Mincho" w:hAnsi="Palatino Linotype" w:cs="Arial"/>
          <w:i/>
          <w:lang w:val="es-ES_tradnl"/>
        </w:rPr>
      </w:pPr>
      <w:r w:rsidRPr="009421B1">
        <w:rPr>
          <w:rFonts w:ascii="Palatino Linotype" w:hAnsi="Palatino Linotype"/>
          <w:b/>
          <w:i/>
        </w:rPr>
        <w:t>II</w:t>
      </w:r>
      <w:r w:rsidRPr="009421B1">
        <w:rPr>
          <w:rFonts w:ascii="Palatino Linotype" w:hAnsi="Palatino Linotype"/>
          <w:i/>
        </w:rPr>
        <w:t>. Aquella cuya revelación pueda ser utilizada para actualizar o potenciar una amenaza a la seguridad pública o a las instituciones del Estado de México;</w:t>
      </w:r>
    </w:p>
    <w:p w:rsidR="009421B1" w:rsidRPr="009421B1" w:rsidRDefault="009421B1" w:rsidP="009421B1">
      <w:pPr>
        <w:spacing w:line="259" w:lineRule="auto"/>
        <w:ind w:left="851" w:right="706"/>
        <w:jc w:val="both"/>
        <w:rPr>
          <w:rFonts w:ascii="Palatino Linotype" w:eastAsia="MS Mincho" w:hAnsi="Palatino Linotype" w:cs="Arial"/>
          <w:i/>
          <w:lang w:val="es-ES_tradnl"/>
        </w:rPr>
      </w:pPr>
      <w:r w:rsidRPr="009421B1">
        <w:rPr>
          <w:rFonts w:ascii="Palatino Linotype" w:eastAsia="MS Mincho" w:hAnsi="Palatino Linotype" w:cs="Arial"/>
          <w:i/>
          <w:lang w:val="es-ES_tradnl"/>
        </w:rPr>
        <w:t>…</w:t>
      </w:r>
    </w:p>
    <w:p w:rsidR="009421B1" w:rsidRPr="009421B1" w:rsidRDefault="009421B1" w:rsidP="009421B1">
      <w:pPr>
        <w:spacing w:line="259" w:lineRule="auto"/>
        <w:ind w:left="851" w:right="706"/>
        <w:jc w:val="both"/>
        <w:rPr>
          <w:rFonts w:ascii="Palatino Linotype" w:eastAsia="MS Mincho" w:hAnsi="Palatino Linotype" w:cs="Arial"/>
          <w:i/>
          <w:lang w:val="es-ES_tradnl"/>
        </w:rPr>
      </w:pPr>
      <w:r w:rsidRPr="009421B1">
        <w:rPr>
          <w:rFonts w:ascii="Palatino Linotype" w:eastAsia="MS Mincho" w:hAnsi="Palatino Linotype" w:cs="Arial"/>
          <w:b/>
          <w:i/>
          <w:lang w:val="es-ES_tradnl"/>
        </w:rPr>
        <w:t>III.</w:t>
      </w:r>
      <w:r w:rsidRPr="009421B1">
        <w:rPr>
          <w:rFonts w:ascii="Palatino Linotype" w:eastAsia="MS Mincho" w:hAnsi="Palatino Linotype" w:cs="Arial"/>
          <w:i/>
          <w:lang w:val="es-ES_tradnl"/>
        </w:rPr>
        <w:t xml:space="preserve"> </w:t>
      </w:r>
      <w:r w:rsidRPr="009421B1">
        <w:rPr>
          <w:rFonts w:ascii="Palatino Linotype" w:eastAsia="MS Mincho" w:hAnsi="Palatino Linotype" w:cs="Arial"/>
          <w:b/>
          <w:i/>
          <w:u w:val="single"/>
          <w:lang w:val="es-ES_tradnl"/>
        </w:rPr>
        <w:t>La relativa a servidores públicos miembros de las instituciones de seguridad pública, cuya revelación pueda poner en riesgo su vida e integridad física con motivo de sus funciones;</w:t>
      </w:r>
      <w:r w:rsidRPr="009421B1">
        <w:rPr>
          <w:rFonts w:ascii="Palatino Linotype" w:eastAsia="MS Mincho" w:hAnsi="Palatino Linotype" w:cs="Arial"/>
          <w:i/>
          <w:lang w:val="es-ES_tradnl"/>
        </w:rPr>
        <w:t>”</w:t>
      </w:r>
    </w:p>
    <w:p w:rsidR="009421B1" w:rsidRPr="004602EA" w:rsidRDefault="009421B1" w:rsidP="009421B1">
      <w:pPr>
        <w:spacing w:after="0" w:line="240" w:lineRule="auto"/>
        <w:jc w:val="both"/>
        <w:rPr>
          <w:rFonts w:ascii="Palatino Linotype" w:eastAsia="MS Mincho" w:hAnsi="Palatino Linotype" w:cs="Arial"/>
          <w:color w:val="FF0000"/>
          <w:sz w:val="16"/>
          <w:szCs w:val="16"/>
          <w:lang w:val="es-ES" w:eastAsia="es-ES"/>
        </w:rPr>
      </w:pPr>
    </w:p>
    <w:p w:rsidR="009421B1" w:rsidRPr="009421B1" w:rsidRDefault="009421B1" w:rsidP="009421B1">
      <w:pPr>
        <w:spacing w:before="240" w:after="240" w:line="360" w:lineRule="auto"/>
        <w:jc w:val="both"/>
        <w:rPr>
          <w:rFonts w:ascii="Palatino Linotype" w:eastAsia="MS Mincho" w:hAnsi="Palatino Linotype" w:cs="Arial"/>
          <w:sz w:val="24"/>
          <w:szCs w:val="24"/>
          <w:lang w:val="es-ES_tradnl"/>
        </w:rPr>
      </w:pPr>
      <w:r w:rsidRPr="009421B1">
        <w:rPr>
          <w:rFonts w:ascii="Palatino Linotype" w:eastAsia="MS Mincho" w:hAnsi="Palatino Linotype" w:cs="Arial"/>
          <w:sz w:val="24"/>
          <w:szCs w:val="24"/>
          <w:lang w:val="es-ES_tradnl"/>
        </w:rPr>
        <w:t xml:space="preserve">Por tanto, al cobrar aplicación dichos supuestos, es que se debió cumplir con los requisitos para su clasificación en términos de la Ley de Transparencia y Acceso a la Información Pública del Estado de México y Municipios, la Ley General de </w:t>
      </w:r>
      <w:r w:rsidRPr="009421B1">
        <w:rPr>
          <w:rFonts w:ascii="Palatino Linotype" w:eastAsia="MS Mincho" w:hAnsi="Palatino Linotype" w:cs="Arial"/>
          <w:sz w:val="24"/>
          <w:szCs w:val="24"/>
          <w:lang w:val="es-ES_tradnl"/>
        </w:rPr>
        <w:lastRenderedPageBreak/>
        <w:t>Transparencia y Acceso a la Información Pública y los Lineamientos generales en materia de clasificación y desclasificación de la información, así como para la elaboración de versiones públicas, lo anterior con la finalidad de clasificar l</w:t>
      </w:r>
      <w:r w:rsidRPr="009421B1">
        <w:rPr>
          <w:rFonts w:ascii="Palatino Linotype" w:hAnsi="Palatino Linotype" w:cs="Arial"/>
          <w:sz w:val="24"/>
          <w:szCs w:val="24"/>
        </w:rPr>
        <w:t xml:space="preserve">a manera en que se encuentra dividido el municipio “cuadrantes”, </w:t>
      </w:r>
      <w:r w:rsidRPr="009421B1">
        <w:rPr>
          <w:rFonts w:ascii="Palatino Linotype" w:eastAsia="MS Mincho" w:hAnsi="Palatino Linotype" w:cs="Arial"/>
          <w:sz w:val="24"/>
          <w:szCs w:val="24"/>
          <w:lang w:val="es-ES_tradnl"/>
        </w:rPr>
        <w:t>como información reservada, toda vez que proporcionar la información en análisis, generaría un riesgo real e inminente, razón por la cual se debió determinar que con la finalidad de evitar que los servidores públicos sean identificables, y por tanto, evitar poner en riesgo la propia seguridad pública, así como la vida e integridad física con motivo de sus funciones, era procedente que el Sujeto Obligado emitiera el acuerdo por virtud del cual la información en cuestión fuese clasificada como reservada.</w:t>
      </w:r>
    </w:p>
    <w:p w:rsidR="009421B1" w:rsidRPr="009421B1" w:rsidRDefault="009421B1" w:rsidP="009421B1">
      <w:pPr>
        <w:spacing w:line="360" w:lineRule="auto"/>
        <w:jc w:val="both"/>
        <w:rPr>
          <w:rFonts w:ascii="Palatino Linotype" w:hAnsi="Palatino Linotype" w:cs="Arial"/>
          <w:sz w:val="24"/>
          <w:szCs w:val="24"/>
          <w:shd w:val="clear" w:color="auto" w:fill="FFFFFF"/>
        </w:rPr>
      </w:pPr>
      <w:r w:rsidRPr="009421B1">
        <w:rPr>
          <w:rFonts w:ascii="Palatino Linotype" w:hAnsi="Palatino Linotype" w:cs="Arial"/>
          <w:sz w:val="24"/>
          <w:szCs w:val="24"/>
          <w:shd w:val="clear" w:color="auto" w:fill="FFFFFF"/>
        </w:rPr>
        <w:t>Cabe destacar,  que los “</w:t>
      </w:r>
      <w:r w:rsidRPr="009421B1">
        <w:rPr>
          <w:rFonts w:ascii="Palatino Linotype" w:hAnsi="Palatino Linotype" w:cs="Arial"/>
          <w:b/>
          <w:sz w:val="24"/>
          <w:szCs w:val="24"/>
          <w:shd w:val="clear" w:color="auto" w:fill="FFFFFF"/>
        </w:rPr>
        <w:t>cuadrantes</w:t>
      </w:r>
      <w:r w:rsidRPr="009421B1">
        <w:rPr>
          <w:rFonts w:ascii="Palatino Linotype" w:hAnsi="Palatino Linotype" w:cs="Arial"/>
          <w:sz w:val="24"/>
          <w:szCs w:val="24"/>
          <w:shd w:val="clear" w:color="auto" w:fill="FFFFFF"/>
        </w:rPr>
        <w:t>” en materia de Seguridad Publica, es una estrategia de combate a la delincuencia y de mayor proximidad a los ciudadanos, que se instrumentó para generar una acción policial más eficaz, así como una supervisión más efectiva sobre todos y cada uno de los elementos y equipos de la corporación, logrando con ello mayor seguridad.</w:t>
      </w:r>
    </w:p>
    <w:p w:rsidR="009421B1" w:rsidRPr="004602EA" w:rsidRDefault="009421B1" w:rsidP="009421B1">
      <w:pPr>
        <w:spacing w:after="0" w:line="240" w:lineRule="auto"/>
        <w:jc w:val="both"/>
        <w:rPr>
          <w:rFonts w:ascii="Palatino Linotype" w:hAnsi="Palatino Linotype" w:cs="Arial"/>
          <w:color w:val="FF0000"/>
          <w:sz w:val="16"/>
          <w:szCs w:val="16"/>
          <w:shd w:val="clear" w:color="auto" w:fill="FFFFFF"/>
        </w:rPr>
      </w:pPr>
    </w:p>
    <w:p w:rsidR="009421B1" w:rsidRPr="009421B1" w:rsidRDefault="009421B1" w:rsidP="009421B1">
      <w:pPr>
        <w:spacing w:line="360" w:lineRule="auto"/>
        <w:jc w:val="both"/>
        <w:rPr>
          <w:rFonts w:ascii="Palatino Linotype" w:hAnsi="Palatino Linotype" w:cs="Arial"/>
          <w:sz w:val="24"/>
          <w:szCs w:val="24"/>
          <w:shd w:val="clear" w:color="auto" w:fill="FFFFFF"/>
        </w:rPr>
      </w:pPr>
      <w:r w:rsidRPr="009421B1">
        <w:rPr>
          <w:rFonts w:ascii="Palatino Linotype" w:hAnsi="Palatino Linotype" w:cs="Arial"/>
          <w:sz w:val="24"/>
          <w:szCs w:val="24"/>
          <w:shd w:val="clear" w:color="auto" w:fill="FFFFFF"/>
        </w:rPr>
        <w:t xml:space="preserve">En este sentido, se precisa que en la composición de los “cuadrantes” y la división de los sectores en cuadrantes de policía, la autoridad responsable deberá considerar entre otros elementos:  </w:t>
      </w:r>
    </w:p>
    <w:p w:rsidR="009421B1" w:rsidRPr="009421B1" w:rsidRDefault="009421B1" w:rsidP="009421B1">
      <w:pPr>
        <w:numPr>
          <w:ilvl w:val="0"/>
          <w:numId w:val="7"/>
        </w:numPr>
        <w:spacing w:line="240" w:lineRule="auto"/>
        <w:contextualSpacing/>
        <w:jc w:val="both"/>
        <w:rPr>
          <w:rFonts w:ascii="Palatino Linotype" w:hAnsi="Palatino Linotype"/>
          <w:sz w:val="24"/>
          <w:szCs w:val="24"/>
        </w:rPr>
      </w:pPr>
      <w:r w:rsidRPr="009421B1">
        <w:rPr>
          <w:rFonts w:ascii="Palatino Linotype" w:hAnsi="Palatino Linotype"/>
          <w:sz w:val="24"/>
          <w:szCs w:val="24"/>
        </w:rPr>
        <w:t>Orografía del terreno</w:t>
      </w:r>
    </w:p>
    <w:p w:rsidR="009421B1" w:rsidRPr="009421B1" w:rsidRDefault="009421B1" w:rsidP="009421B1">
      <w:pPr>
        <w:numPr>
          <w:ilvl w:val="0"/>
          <w:numId w:val="7"/>
        </w:numPr>
        <w:spacing w:line="240" w:lineRule="auto"/>
        <w:contextualSpacing/>
        <w:jc w:val="both"/>
        <w:rPr>
          <w:rFonts w:ascii="Palatino Linotype" w:hAnsi="Palatino Linotype"/>
          <w:sz w:val="24"/>
          <w:szCs w:val="24"/>
        </w:rPr>
      </w:pPr>
      <w:r w:rsidRPr="009421B1">
        <w:rPr>
          <w:rFonts w:ascii="Palatino Linotype" w:hAnsi="Palatino Linotype"/>
          <w:sz w:val="24"/>
          <w:szCs w:val="24"/>
        </w:rPr>
        <w:t>Densidad de Población</w:t>
      </w:r>
    </w:p>
    <w:p w:rsidR="009421B1" w:rsidRPr="009421B1" w:rsidRDefault="009421B1" w:rsidP="009421B1">
      <w:pPr>
        <w:numPr>
          <w:ilvl w:val="0"/>
          <w:numId w:val="7"/>
        </w:numPr>
        <w:spacing w:line="240" w:lineRule="auto"/>
        <w:contextualSpacing/>
        <w:jc w:val="both"/>
        <w:rPr>
          <w:rFonts w:ascii="Palatino Linotype" w:hAnsi="Palatino Linotype"/>
          <w:sz w:val="24"/>
          <w:szCs w:val="24"/>
        </w:rPr>
      </w:pPr>
      <w:r w:rsidRPr="009421B1">
        <w:rPr>
          <w:rFonts w:ascii="Palatino Linotype" w:hAnsi="Palatino Linotype"/>
          <w:sz w:val="24"/>
          <w:szCs w:val="24"/>
        </w:rPr>
        <w:t>Incidencia Delictiva</w:t>
      </w:r>
    </w:p>
    <w:p w:rsidR="009421B1" w:rsidRPr="009421B1" w:rsidRDefault="009421B1" w:rsidP="009421B1">
      <w:pPr>
        <w:numPr>
          <w:ilvl w:val="0"/>
          <w:numId w:val="7"/>
        </w:numPr>
        <w:spacing w:line="240" w:lineRule="auto"/>
        <w:contextualSpacing/>
        <w:jc w:val="both"/>
        <w:rPr>
          <w:rFonts w:ascii="Palatino Linotype" w:hAnsi="Palatino Linotype"/>
          <w:sz w:val="24"/>
          <w:szCs w:val="24"/>
        </w:rPr>
      </w:pPr>
      <w:r w:rsidRPr="009421B1">
        <w:rPr>
          <w:rFonts w:ascii="Palatino Linotype" w:hAnsi="Palatino Linotype"/>
          <w:sz w:val="24"/>
          <w:szCs w:val="24"/>
        </w:rPr>
        <w:lastRenderedPageBreak/>
        <w:t>Vialidades</w:t>
      </w:r>
    </w:p>
    <w:p w:rsidR="009421B1" w:rsidRPr="009421B1" w:rsidRDefault="009421B1" w:rsidP="009421B1">
      <w:pPr>
        <w:numPr>
          <w:ilvl w:val="0"/>
          <w:numId w:val="7"/>
        </w:numPr>
        <w:spacing w:line="240" w:lineRule="auto"/>
        <w:contextualSpacing/>
        <w:jc w:val="both"/>
        <w:rPr>
          <w:rFonts w:ascii="Palatino Linotype" w:hAnsi="Palatino Linotype"/>
          <w:sz w:val="24"/>
          <w:szCs w:val="24"/>
        </w:rPr>
      </w:pPr>
      <w:r w:rsidRPr="009421B1">
        <w:rPr>
          <w:rFonts w:ascii="Palatino Linotype" w:hAnsi="Palatino Linotype"/>
          <w:sz w:val="24"/>
          <w:szCs w:val="24"/>
        </w:rPr>
        <w:t>Estado de Fuerza</w:t>
      </w:r>
    </w:p>
    <w:p w:rsidR="009421B1" w:rsidRPr="004602EA" w:rsidRDefault="009421B1" w:rsidP="009421B1">
      <w:pPr>
        <w:spacing w:line="240" w:lineRule="auto"/>
        <w:jc w:val="both"/>
        <w:rPr>
          <w:rFonts w:ascii="Palatino Linotype" w:hAnsi="Palatino Linotype"/>
          <w:color w:val="FF0000"/>
          <w:sz w:val="24"/>
          <w:szCs w:val="24"/>
        </w:rPr>
      </w:pPr>
    </w:p>
    <w:p w:rsidR="009421B1" w:rsidRPr="009421B1" w:rsidRDefault="009421B1" w:rsidP="009421B1">
      <w:pPr>
        <w:spacing w:line="360" w:lineRule="auto"/>
        <w:jc w:val="both"/>
        <w:rPr>
          <w:rFonts w:ascii="Palatino Linotype" w:hAnsi="Palatino Linotype" w:cs="Arial"/>
          <w:sz w:val="24"/>
          <w:szCs w:val="24"/>
        </w:rPr>
      </w:pPr>
      <w:r w:rsidRPr="009421B1">
        <w:rPr>
          <w:rFonts w:ascii="Palatino Linotype" w:hAnsi="Palatino Linotype" w:cs="Arial"/>
          <w:sz w:val="24"/>
          <w:szCs w:val="24"/>
        </w:rPr>
        <w:t>Por lo anterior, deben mantenerse al margen de la publicidad las estrategias de seguridad que realizan las diversas corporaciones policiales y de seguridad pública para la prevención y persecución de los delitos que dificulten las acciones para prevenir y combatir los índices delictivos y las acciones de la delincuencia organizada, información que se encuentra en poder del Sujeto Obligado, consecuentemente, debe clasificarse como información reservada, toda vez que su divulgación implicaría un daño mayor que el interés público de su conocimiento, dada la propia naturaleza que tienen las estrategias de seguridad que aplican cotidianamente los cuerpos de Seguridad Pública.</w:t>
      </w:r>
    </w:p>
    <w:p w:rsidR="009421B1" w:rsidRDefault="009421B1" w:rsidP="009421B1">
      <w:pPr>
        <w:spacing w:before="240" w:after="360" w:line="360" w:lineRule="auto"/>
        <w:jc w:val="both"/>
        <w:rPr>
          <w:rFonts w:ascii="Palatino Linotype" w:hAnsi="Palatino Linotype" w:cs="Arial"/>
          <w:sz w:val="24"/>
          <w:szCs w:val="24"/>
        </w:rPr>
      </w:pPr>
      <w:r w:rsidRPr="009421B1">
        <w:rPr>
          <w:rFonts w:ascii="Palatino Linotype" w:hAnsi="Palatino Linotype" w:cs="Arial"/>
          <w:sz w:val="24"/>
          <w:szCs w:val="24"/>
        </w:rPr>
        <w:t>Por ende, atendiendo a la naturaleza de la información solicitada, el Comité de Transparencia del Sujeto Obligado debió emitir el Acuerdo de Clasificación correspondiente debidamente fundado y motivado, por virtud del cual sustente la reserva de la información materia de análisis del presente asunto.</w:t>
      </w:r>
    </w:p>
    <w:p w:rsidR="00923BD5" w:rsidRDefault="00923BD5" w:rsidP="00923BD5">
      <w:pPr>
        <w:spacing w:before="240" w:after="360" w:line="360" w:lineRule="auto"/>
        <w:jc w:val="center"/>
        <w:rPr>
          <w:rFonts w:ascii="Palatino Linotype" w:hAnsi="Palatino Linotype"/>
          <w:sz w:val="24"/>
          <w:szCs w:val="24"/>
        </w:rPr>
      </w:pPr>
    </w:p>
    <w:p w:rsidR="00923BD5" w:rsidRPr="009421B1" w:rsidRDefault="00923BD5" w:rsidP="00923BD5">
      <w:pPr>
        <w:spacing w:before="240" w:after="360" w:line="360" w:lineRule="auto"/>
        <w:jc w:val="center"/>
        <w:rPr>
          <w:rFonts w:ascii="Palatino Linotype" w:hAnsi="Palatino Linotype"/>
          <w:sz w:val="24"/>
          <w:szCs w:val="24"/>
        </w:rPr>
      </w:pPr>
    </w:p>
    <w:p w:rsidR="00923BD5" w:rsidRPr="003F3117" w:rsidRDefault="00923BD5" w:rsidP="00923BD5">
      <w:pPr>
        <w:spacing w:after="0" w:line="240" w:lineRule="auto"/>
        <w:jc w:val="center"/>
        <w:rPr>
          <w:rFonts w:ascii="Palatino Linotype" w:hAnsi="Palatino Linotype"/>
          <w:b/>
          <w:sz w:val="28"/>
          <w:szCs w:val="28"/>
        </w:rPr>
      </w:pPr>
      <w:r w:rsidRPr="003F3117">
        <w:rPr>
          <w:rFonts w:ascii="Palatino Linotype" w:hAnsi="Palatino Linotype"/>
          <w:b/>
          <w:sz w:val="28"/>
          <w:szCs w:val="28"/>
        </w:rPr>
        <w:t>Zulema Martínez Sánchez</w:t>
      </w:r>
      <w:r>
        <w:rPr>
          <w:rFonts w:ascii="Palatino Linotype" w:hAnsi="Palatino Linotype"/>
          <w:b/>
          <w:sz w:val="28"/>
          <w:szCs w:val="28"/>
        </w:rPr>
        <w:t xml:space="preserve">                   Javier Martínez Cruz</w:t>
      </w:r>
    </w:p>
    <w:p w:rsidR="00923BD5" w:rsidRDefault="00923BD5" w:rsidP="00923BD5">
      <w:pPr>
        <w:spacing w:after="0" w:line="240" w:lineRule="auto"/>
        <w:jc w:val="center"/>
        <w:rPr>
          <w:rFonts w:ascii="Palatino Linotype" w:hAnsi="Palatino Linotype"/>
          <w:b/>
          <w:sz w:val="24"/>
          <w:szCs w:val="24"/>
        </w:rPr>
      </w:pPr>
      <w:r>
        <w:rPr>
          <w:rFonts w:ascii="Palatino Linotype" w:hAnsi="Palatino Linotype"/>
          <w:b/>
          <w:sz w:val="24"/>
          <w:szCs w:val="24"/>
        </w:rPr>
        <w:t xml:space="preserve">Comisionada                                               Comisionado                                                                                                                             </w:t>
      </w:r>
    </w:p>
    <w:p w:rsidR="00B71BFC" w:rsidRPr="00923BD5" w:rsidRDefault="00923BD5" w:rsidP="00923BD5">
      <w:pPr>
        <w:spacing w:after="0" w:line="240" w:lineRule="auto"/>
        <w:rPr>
          <w:rFonts w:ascii="Palatino Linotype" w:hAnsi="Palatino Linotype"/>
          <w:b/>
          <w:sz w:val="24"/>
          <w:szCs w:val="24"/>
        </w:rPr>
      </w:pPr>
      <w:r>
        <w:rPr>
          <w:rFonts w:ascii="Palatino Linotype" w:hAnsi="Palatino Linotype"/>
          <w:b/>
          <w:sz w:val="24"/>
          <w:szCs w:val="24"/>
        </w:rPr>
        <w:t xml:space="preserve">                               (Rúbrica)                                                     (Rúbrica)</w:t>
      </w:r>
      <w:r w:rsidR="00B71BFC" w:rsidRPr="00C2534B">
        <w:rPr>
          <w:rFonts w:ascii="Palatino Linotype" w:hAnsi="Palatino Linotype"/>
          <w:b/>
          <w:sz w:val="24"/>
          <w:szCs w:val="24"/>
        </w:rPr>
        <w:t xml:space="preserve"> </w:t>
      </w:r>
    </w:p>
    <w:sectPr w:rsidR="00B71BFC" w:rsidRPr="00923BD5" w:rsidSect="007F0307">
      <w:headerReference w:type="even" r:id="rId9"/>
      <w:headerReference w:type="default" r:id="rId10"/>
      <w:footerReference w:type="default" r:id="rId11"/>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0307" w:rsidRDefault="007F0307" w:rsidP="00907451">
      <w:pPr>
        <w:spacing w:after="0" w:line="240" w:lineRule="auto"/>
      </w:pPr>
      <w:r>
        <w:separator/>
      </w:r>
    </w:p>
  </w:endnote>
  <w:endnote w:type="continuationSeparator" w:id="0">
    <w:p w:rsidR="007F0307" w:rsidRDefault="007F0307" w:rsidP="0090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7" w:rsidRPr="00986599" w:rsidRDefault="007F0307" w:rsidP="007F0307">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9D2EE1">
      <w:rPr>
        <w:rFonts w:ascii="Arial" w:hAnsi="Arial" w:cs="Arial"/>
        <w:b/>
        <w:bCs/>
        <w:noProof/>
        <w:sz w:val="20"/>
        <w:szCs w:val="20"/>
      </w:rPr>
      <w:t>7</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9D2EE1">
      <w:rPr>
        <w:rFonts w:ascii="Arial" w:hAnsi="Arial" w:cs="Arial"/>
        <w:b/>
        <w:bCs/>
        <w:noProof/>
        <w:sz w:val="20"/>
        <w:szCs w:val="20"/>
      </w:rPr>
      <w:t>7</w:t>
    </w:r>
    <w:r w:rsidRPr="00986599">
      <w:rPr>
        <w:rFonts w:ascii="Arial" w:hAnsi="Arial" w:cs="Arial"/>
        <w:b/>
        <w:bCs/>
        <w:sz w:val="20"/>
        <w:szCs w:val="20"/>
      </w:rPr>
      <w:fldChar w:fldCharType="end"/>
    </w:r>
  </w:p>
  <w:p w:rsidR="007F0307" w:rsidRDefault="007F0307" w:rsidP="007F0307">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0307" w:rsidRDefault="007F0307" w:rsidP="00907451">
      <w:pPr>
        <w:spacing w:after="0" w:line="240" w:lineRule="auto"/>
      </w:pPr>
      <w:r>
        <w:separator/>
      </w:r>
    </w:p>
  </w:footnote>
  <w:footnote w:type="continuationSeparator" w:id="0">
    <w:p w:rsidR="007F0307" w:rsidRDefault="007F0307" w:rsidP="009074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7" w:rsidRDefault="007F0307">
    <w:pPr>
      <w:pStyle w:val="Encabezado"/>
    </w:pPr>
    <w:r>
      <w:rPr>
        <w:noProof/>
        <w:lang w:val="es-MX" w:eastAsia="es-MX"/>
      </w:rPr>
      <mc:AlternateContent>
        <mc:Choice Requires="wps">
          <w:drawing>
            <wp:anchor distT="0" distB="0" distL="114300" distR="114300" simplePos="0" relativeHeight="251661312" behindDoc="1" locked="0" layoutInCell="0" allowOverlap="1" wp14:anchorId="418310CF" wp14:editId="5C28A320">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F0307" w:rsidRDefault="007F0307"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8310CF"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7F0307" w:rsidRDefault="007F0307"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7" w:rsidRDefault="007F0307" w:rsidP="007F0307">
    <w:pPr>
      <w:pStyle w:val="Encabezado"/>
      <w:jc w:val="right"/>
      <w:rPr>
        <w:rFonts w:ascii="Arial" w:hAnsi="Arial" w:cs="Arial"/>
        <w:sz w:val="20"/>
        <w:szCs w:val="20"/>
      </w:rPr>
    </w:pPr>
    <w:r>
      <w:rPr>
        <w:noProof/>
        <w:lang w:val="es-MX" w:eastAsia="es-MX"/>
      </w:rPr>
      <w:drawing>
        <wp:anchor distT="0" distB="0" distL="114300" distR="114300" simplePos="0" relativeHeight="251663360" behindDoc="1" locked="0" layoutInCell="1" allowOverlap="1">
          <wp:simplePos x="0" y="0"/>
          <wp:positionH relativeFrom="column">
            <wp:posOffset>-1096623</wp:posOffset>
          </wp:positionH>
          <wp:positionV relativeFrom="paragraph">
            <wp:posOffset>-434358</wp:posOffset>
          </wp:positionV>
          <wp:extent cx="7510628" cy="9883775"/>
          <wp:effectExtent l="0" t="0" r="0" b="3175"/>
          <wp:wrapNone/>
          <wp:docPr id="4" name="Imagen 4"/>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21053" cy="9897494"/>
                  </a:xfrm>
                  <a:prstGeom prst="rect">
                    <a:avLst/>
                  </a:prstGeom>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7F0307" w:rsidRDefault="007F0307" w:rsidP="007F0307">
    <w:pPr>
      <w:pStyle w:val="Encabezado"/>
      <w:jc w:val="right"/>
      <w:rPr>
        <w:rFonts w:ascii="Arial" w:hAnsi="Arial" w:cs="Arial"/>
        <w:sz w:val="20"/>
        <w:szCs w:val="20"/>
      </w:rPr>
    </w:pPr>
  </w:p>
  <w:p w:rsidR="007F0307" w:rsidRDefault="007F0307" w:rsidP="007F0307">
    <w:pPr>
      <w:pStyle w:val="Encabezado"/>
      <w:jc w:val="right"/>
      <w:rPr>
        <w:rFonts w:ascii="Arial" w:hAnsi="Arial" w:cs="Arial"/>
        <w:sz w:val="20"/>
        <w:szCs w:val="20"/>
      </w:rPr>
    </w:pPr>
  </w:p>
  <w:p w:rsidR="007F0307" w:rsidRPr="00563D0F" w:rsidRDefault="007F0307" w:rsidP="007F0307">
    <w:pPr>
      <w:pStyle w:val="Encabezado"/>
      <w:jc w:val="right"/>
      <w:rPr>
        <w:rFonts w:ascii="Palatino Linotype" w:hAnsi="Palatino Linotype" w:cs="Arial"/>
        <w:b/>
        <w:sz w:val="20"/>
        <w:szCs w:val="20"/>
      </w:rPr>
    </w:pPr>
    <w:r>
      <w:rPr>
        <w:rFonts w:ascii="Palatino Linotype" w:hAnsi="Palatino Linotype" w:cs="Arial"/>
        <w:b/>
        <w:sz w:val="20"/>
        <w:szCs w:val="20"/>
      </w:rPr>
      <w:t>VOTO PARTICULAR</w:t>
    </w:r>
    <w:r w:rsidR="009D2EE1">
      <w:rPr>
        <w:rFonts w:ascii="Palatino Linotype" w:hAnsi="Palatino Linotype" w:cs="Arial"/>
        <w:b/>
        <w:sz w:val="20"/>
        <w:szCs w:val="20"/>
      </w:rPr>
      <w:t xml:space="preserve"> CONCURRENTE</w:t>
    </w:r>
    <w:r w:rsidRPr="00563D0F">
      <w:rPr>
        <w:rFonts w:ascii="Palatino Linotype" w:hAnsi="Palatino Linotype" w:cs="Arial"/>
        <w:b/>
        <w:sz w:val="20"/>
        <w:szCs w:val="20"/>
      </w:rPr>
      <w:t xml:space="preserve"> </w:t>
    </w:r>
  </w:p>
  <w:p w:rsidR="007F0307" w:rsidRDefault="007F0307" w:rsidP="00572030">
    <w:pPr>
      <w:pStyle w:val="Encabezado"/>
      <w:jc w:val="right"/>
      <w:rPr>
        <w:rFonts w:ascii="Palatino Linotype" w:hAnsi="Palatino Linotype" w:cs="Arial"/>
        <w:sz w:val="20"/>
        <w:szCs w:val="20"/>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 xml:space="preserve">REVISIÓN </w:t>
    </w:r>
    <w:r w:rsidR="005718F4">
      <w:rPr>
        <w:rFonts w:ascii="Palatino Linotype" w:hAnsi="Palatino Linotype"/>
        <w:b/>
        <w:sz w:val="22"/>
        <w:szCs w:val="22"/>
        <w:lang w:val="es-ES_tradnl"/>
      </w:rPr>
      <w:t>04176</w:t>
    </w:r>
    <w:r w:rsidR="00572030" w:rsidRPr="00572030">
      <w:rPr>
        <w:rFonts w:ascii="Palatino Linotype" w:hAnsi="Palatino Linotype"/>
        <w:b/>
        <w:sz w:val="22"/>
        <w:szCs w:val="22"/>
        <w:lang w:val="es-ES_tradnl"/>
      </w:rPr>
      <w:t>/INFOEM/IP/RR/2018</w:t>
    </w:r>
    <w:r w:rsidR="00FD03B0">
      <w:rPr>
        <w:rFonts w:ascii="Palatino Linotype" w:hAnsi="Palatino Linotype"/>
        <w:b/>
        <w:sz w:val="22"/>
        <w:szCs w:val="22"/>
        <w:lang w:val="es-ES_tradnl"/>
      </w:rPr>
      <w:t xml:space="preserve"> </w:t>
    </w:r>
  </w:p>
  <w:p w:rsidR="007F0307" w:rsidRDefault="007F0307" w:rsidP="007F0307">
    <w:pPr>
      <w:pStyle w:val="Encabezado"/>
      <w:jc w:val="right"/>
      <w:rPr>
        <w:rFonts w:ascii="Palatino Linotype" w:hAnsi="Palatino Linotype"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342F08"/>
    <w:multiLevelType w:val="hybridMultilevel"/>
    <w:tmpl w:val="20D605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461C54D4"/>
    <w:multiLevelType w:val="hybridMultilevel"/>
    <w:tmpl w:val="9BE2A540"/>
    <w:lvl w:ilvl="0" w:tplc="6046E4A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4E3931F9"/>
    <w:multiLevelType w:val="hybridMultilevel"/>
    <w:tmpl w:val="98F2085E"/>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nsid w:val="531E76C4"/>
    <w:multiLevelType w:val="hybridMultilevel"/>
    <w:tmpl w:val="0F8E2F0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672A783C"/>
    <w:multiLevelType w:val="hybridMultilevel"/>
    <w:tmpl w:val="C2083B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6A70229F"/>
    <w:multiLevelType w:val="multilevel"/>
    <w:tmpl w:val="D07E1DAA"/>
    <w:lvl w:ilvl="0">
      <w:start w:val="1"/>
      <w:numFmt w:val="decimal"/>
      <w:lvlText w:val="%1."/>
      <w:lvlJc w:val="left"/>
      <w:pPr>
        <w:ind w:left="360" w:hanging="360"/>
      </w:pPr>
      <w:rPr>
        <w:rFonts w:hint="default"/>
        <w:b/>
      </w:rPr>
    </w:lvl>
    <w:lvl w:ilvl="1">
      <w:start w:val="1"/>
      <w:numFmt w:val="decimal"/>
      <w:lvlText w:val="%1.%2."/>
      <w:lvlJc w:val="left"/>
      <w:pPr>
        <w:ind w:left="792" w:hanging="432"/>
      </w:pPr>
      <w:rPr>
        <w:b/>
        <w:lang w:val="pt-BR"/>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76DF1788"/>
    <w:multiLevelType w:val="hybridMultilevel"/>
    <w:tmpl w:val="D6DE8F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2"/>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7BA"/>
    <w:rsid w:val="00042A3C"/>
    <w:rsid w:val="00051C17"/>
    <w:rsid w:val="00057319"/>
    <w:rsid w:val="000607BA"/>
    <w:rsid w:val="0011440C"/>
    <w:rsid w:val="00155046"/>
    <w:rsid w:val="00174EA4"/>
    <w:rsid w:val="001822F4"/>
    <w:rsid w:val="001A015D"/>
    <w:rsid w:val="001A7C78"/>
    <w:rsid w:val="00206634"/>
    <w:rsid w:val="002073F9"/>
    <w:rsid w:val="00215353"/>
    <w:rsid w:val="00232C29"/>
    <w:rsid w:val="002618A9"/>
    <w:rsid w:val="00292D40"/>
    <w:rsid w:val="002A5ADD"/>
    <w:rsid w:val="002A6359"/>
    <w:rsid w:val="00320BAF"/>
    <w:rsid w:val="00347C52"/>
    <w:rsid w:val="00356493"/>
    <w:rsid w:val="0036408D"/>
    <w:rsid w:val="0036634A"/>
    <w:rsid w:val="003B33CF"/>
    <w:rsid w:val="00456467"/>
    <w:rsid w:val="00503956"/>
    <w:rsid w:val="00505F5A"/>
    <w:rsid w:val="005549ED"/>
    <w:rsid w:val="005718F4"/>
    <w:rsid w:val="00572030"/>
    <w:rsid w:val="00574532"/>
    <w:rsid w:val="005777C1"/>
    <w:rsid w:val="005C2E7F"/>
    <w:rsid w:val="005C62FC"/>
    <w:rsid w:val="005D066B"/>
    <w:rsid w:val="005F4C0C"/>
    <w:rsid w:val="006214D7"/>
    <w:rsid w:val="00674295"/>
    <w:rsid w:val="00675C15"/>
    <w:rsid w:val="006A6AF4"/>
    <w:rsid w:val="006C34A1"/>
    <w:rsid w:val="006E048C"/>
    <w:rsid w:val="006F1710"/>
    <w:rsid w:val="006F346D"/>
    <w:rsid w:val="007B6EE5"/>
    <w:rsid w:val="007C6C71"/>
    <w:rsid w:val="007D3AEB"/>
    <w:rsid w:val="007F0307"/>
    <w:rsid w:val="00807896"/>
    <w:rsid w:val="00807B02"/>
    <w:rsid w:val="00817AA2"/>
    <w:rsid w:val="00871E3F"/>
    <w:rsid w:val="00872711"/>
    <w:rsid w:val="00883ABB"/>
    <w:rsid w:val="00892DF4"/>
    <w:rsid w:val="00895041"/>
    <w:rsid w:val="00897E24"/>
    <w:rsid w:val="008A4206"/>
    <w:rsid w:val="008E2933"/>
    <w:rsid w:val="00902BEC"/>
    <w:rsid w:val="00907451"/>
    <w:rsid w:val="00921613"/>
    <w:rsid w:val="00923BD5"/>
    <w:rsid w:val="009338B8"/>
    <w:rsid w:val="00935ABC"/>
    <w:rsid w:val="009421B1"/>
    <w:rsid w:val="00956FEF"/>
    <w:rsid w:val="009611D3"/>
    <w:rsid w:val="0098633B"/>
    <w:rsid w:val="009C6D4B"/>
    <w:rsid w:val="009D2EE1"/>
    <w:rsid w:val="009D4A3C"/>
    <w:rsid w:val="009F4EB8"/>
    <w:rsid w:val="00A01E1E"/>
    <w:rsid w:val="00A1161D"/>
    <w:rsid w:val="00A21005"/>
    <w:rsid w:val="00A3528D"/>
    <w:rsid w:val="00AA53B5"/>
    <w:rsid w:val="00AD0389"/>
    <w:rsid w:val="00AE0F71"/>
    <w:rsid w:val="00B02DEB"/>
    <w:rsid w:val="00B42E5B"/>
    <w:rsid w:val="00B547F4"/>
    <w:rsid w:val="00B64C32"/>
    <w:rsid w:val="00B71BFC"/>
    <w:rsid w:val="00B95ED4"/>
    <w:rsid w:val="00B976C5"/>
    <w:rsid w:val="00BD3823"/>
    <w:rsid w:val="00BE1582"/>
    <w:rsid w:val="00BE6B5D"/>
    <w:rsid w:val="00C11623"/>
    <w:rsid w:val="00C2534B"/>
    <w:rsid w:val="00C272EE"/>
    <w:rsid w:val="00C44E15"/>
    <w:rsid w:val="00CB1CEB"/>
    <w:rsid w:val="00CC5CDC"/>
    <w:rsid w:val="00CE45F1"/>
    <w:rsid w:val="00CF29D2"/>
    <w:rsid w:val="00D2588A"/>
    <w:rsid w:val="00D32E4F"/>
    <w:rsid w:val="00D54152"/>
    <w:rsid w:val="00D729EE"/>
    <w:rsid w:val="00DA6449"/>
    <w:rsid w:val="00DB70E3"/>
    <w:rsid w:val="00DC752B"/>
    <w:rsid w:val="00E20299"/>
    <w:rsid w:val="00E30FFD"/>
    <w:rsid w:val="00E35D2D"/>
    <w:rsid w:val="00E476F0"/>
    <w:rsid w:val="00E70DD8"/>
    <w:rsid w:val="00E920D4"/>
    <w:rsid w:val="00EB5C74"/>
    <w:rsid w:val="00F13DA6"/>
    <w:rsid w:val="00F466F2"/>
    <w:rsid w:val="00F76B05"/>
    <w:rsid w:val="00F97255"/>
    <w:rsid w:val="00FD03B0"/>
    <w:rsid w:val="00FD3336"/>
    <w:rsid w:val="00FE273F"/>
    <w:rsid w:val="00FE653C"/>
    <w:rsid w:val="00FF6A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AD3CB429-B3C2-4730-9C53-251B5693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07BA"/>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character" w:customStyle="1" w:styleId="apple-converted-space">
    <w:name w:val="apple-converted-space"/>
    <w:basedOn w:val="Fuentedeprrafopredeter"/>
    <w:rsid w:val="002618A9"/>
  </w:style>
  <w:style w:type="paragraph" w:styleId="Textonotapie">
    <w:name w:val="footnote text"/>
    <w:basedOn w:val="Normal"/>
    <w:link w:val="TextonotapieCar"/>
    <w:uiPriority w:val="99"/>
    <w:semiHidden/>
    <w:unhideWhenUsed/>
    <w:rsid w:val="0092161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21613"/>
    <w:rPr>
      <w:sz w:val="20"/>
      <w:szCs w:val="20"/>
    </w:rPr>
  </w:style>
  <w:style w:type="character" w:styleId="Refdenotaalpie">
    <w:name w:val="footnote reference"/>
    <w:basedOn w:val="Fuentedeprrafopredeter"/>
    <w:uiPriority w:val="99"/>
    <w:semiHidden/>
    <w:unhideWhenUsed/>
    <w:rsid w:val="00921613"/>
    <w:rPr>
      <w:vertAlign w:val="superscript"/>
    </w:rPr>
  </w:style>
  <w:style w:type="character" w:styleId="Hipervnculo">
    <w:name w:val="Hyperlink"/>
    <w:basedOn w:val="Fuentedeprrafopredeter"/>
    <w:uiPriority w:val="99"/>
    <w:semiHidden/>
    <w:unhideWhenUsed/>
    <w:rsid w:val="00EB5C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tepec.gob.mx/pagina/documentos/gacetas/gaceta_2016/GACETA_87_2016.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8C85DB70-4F86-4C06-B3DC-C8BC6CE39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7</Pages>
  <Words>1589</Words>
  <Characters>8740</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21</cp:revision>
  <cp:lastPrinted>2019-01-21T20:30:00Z</cp:lastPrinted>
  <dcterms:created xsi:type="dcterms:W3CDTF">2019-01-18T16:13:00Z</dcterms:created>
  <dcterms:modified xsi:type="dcterms:W3CDTF">2019-01-21T20:34:00Z</dcterms:modified>
</cp:coreProperties>
</file>